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219AF" w14:textId="77777777" w:rsidR="00677D10" w:rsidRDefault="009F2248">
      <w:pPr>
        <w:spacing w:line="360" w:lineRule="auto"/>
      </w:pPr>
      <w:r>
        <w:t xml:space="preserve">RESEARCH ARTICLE </w:t>
      </w:r>
    </w:p>
    <w:p w14:paraId="2C300799" w14:textId="1E3200D5" w:rsidR="00677D10" w:rsidRDefault="001B1DA2">
      <w:pPr>
        <w:spacing w:line="360" w:lineRule="auto"/>
        <w:rPr>
          <w:b/>
          <w:sz w:val="28"/>
        </w:rPr>
      </w:pPr>
      <w:r w:rsidRPr="001B1DA2">
        <w:rPr>
          <w:b/>
          <w:sz w:val="28"/>
        </w:rPr>
        <w:t xml:space="preserve">Polymorph Stability Index (PSI) for Integrated Assessment of Floristic Families in </w:t>
      </w:r>
      <w:proofErr w:type="spellStart"/>
      <w:r w:rsidRPr="001B1DA2">
        <w:rPr>
          <w:b/>
          <w:sz w:val="28"/>
        </w:rPr>
        <w:t>Surkhandarya</w:t>
      </w:r>
      <w:proofErr w:type="spellEnd"/>
      <w:r w:rsidRPr="001B1DA2">
        <w:rPr>
          <w:b/>
          <w:sz w:val="28"/>
        </w:rPr>
        <w:t xml:space="preserve"> (Central Asia)</w:t>
      </w:r>
    </w:p>
    <w:p w14:paraId="49A034D3" w14:textId="77777777" w:rsidR="00677D10" w:rsidRDefault="00677D10"/>
    <w:p w14:paraId="22175DFE" w14:textId="24DAF70E" w:rsidR="00677D10" w:rsidRDefault="001B1DA2">
      <w:pPr>
        <w:rPr>
          <w:vertAlign w:val="superscript"/>
          <w:lang w:eastAsia="ru-RU"/>
        </w:rPr>
      </w:pPr>
      <w:proofErr w:type="spellStart"/>
      <w:r w:rsidRPr="001B1DA2">
        <w:rPr>
          <w:shd w:val="clear" w:color="auto" w:fill="FFFFFF"/>
        </w:rPr>
        <w:t>Otabek</w:t>
      </w:r>
      <w:proofErr w:type="spellEnd"/>
      <w:r w:rsidRPr="001B1DA2">
        <w:rPr>
          <w:shd w:val="clear" w:color="auto" w:fill="FFFFFF"/>
        </w:rPr>
        <w:t xml:space="preserve"> Sotiboldiyev¹, </w:t>
      </w:r>
      <w:proofErr w:type="spellStart"/>
      <w:r w:rsidRPr="001B1DA2">
        <w:rPr>
          <w:shd w:val="clear" w:color="auto" w:fill="FFFFFF"/>
        </w:rPr>
        <w:t>Feruz</w:t>
      </w:r>
      <w:proofErr w:type="spellEnd"/>
      <w:r w:rsidRPr="001B1DA2">
        <w:rPr>
          <w:shd w:val="clear" w:color="auto" w:fill="FFFFFF"/>
        </w:rPr>
        <w:t xml:space="preserve"> Akbarov¹, </w:t>
      </w:r>
      <w:proofErr w:type="spellStart"/>
      <w:r w:rsidRPr="001B1DA2">
        <w:rPr>
          <w:shd w:val="clear" w:color="auto" w:fill="FFFFFF"/>
        </w:rPr>
        <w:t>Sardor</w:t>
      </w:r>
      <w:proofErr w:type="spellEnd"/>
      <w:r w:rsidRPr="001B1DA2">
        <w:rPr>
          <w:shd w:val="clear" w:color="auto" w:fill="FFFFFF"/>
        </w:rPr>
        <w:t xml:space="preserve"> Po‘latov¹, </w:t>
      </w:r>
      <w:proofErr w:type="spellStart"/>
      <w:r w:rsidRPr="001B1DA2">
        <w:rPr>
          <w:shd w:val="clear" w:color="auto" w:fill="FFFFFF"/>
        </w:rPr>
        <w:t>Akram</w:t>
      </w:r>
      <w:proofErr w:type="spellEnd"/>
      <w:r w:rsidRPr="001B1DA2">
        <w:rPr>
          <w:shd w:val="clear" w:color="auto" w:fill="FFFFFF"/>
        </w:rPr>
        <w:t xml:space="preserve"> Ibragimov², </w:t>
      </w:r>
      <w:proofErr w:type="spellStart"/>
      <w:r w:rsidRPr="001B1DA2">
        <w:rPr>
          <w:shd w:val="clear" w:color="auto" w:fill="FFFFFF"/>
        </w:rPr>
        <w:t>Komiljon</w:t>
      </w:r>
      <w:proofErr w:type="spellEnd"/>
      <w:r w:rsidRPr="001B1DA2">
        <w:rPr>
          <w:shd w:val="clear" w:color="auto" w:fill="FFFFFF"/>
        </w:rPr>
        <w:t xml:space="preserve"> Sh. Tojibaev¹*</w:t>
      </w:r>
    </w:p>
    <w:p w14:paraId="757D9CDB" w14:textId="77777777" w:rsidR="00677D10" w:rsidRDefault="00677D10">
      <w:pPr>
        <w:rPr>
          <w:vertAlign w:val="superscript"/>
        </w:rPr>
      </w:pPr>
    </w:p>
    <w:p w14:paraId="6FB49351" w14:textId="77777777" w:rsidR="001B1DA2" w:rsidRPr="001B1DA2" w:rsidRDefault="001B1DA2" w:rsidP="001B1DA2">
      <w:pPr>
        <w:rPr>
          <w:i/>
          <w:iCs/>
        </w:rPr>
      </w:pPr>
      <w:r w:rsidRPr="001B1DA2">
        <w:rPr>
          <w:i/>
          <w:iCs/>
        </w:rPr>
        <w:t>¹ Institute of Botany, Academy of Sciences of the Republic of Uzbekistan, Tashkent, Uzbekistan</w:t>
      </w:r>
    </w:p>
    <w:p w14:paraId="7D849065" w14:textId="5CE2599A" w:rsidR="001B1DA2" w:rsidRDefault="001B1DA2" w:rsidP="001B1DA2">
      <w:pPr>
        <w:rPr>
          <w:i/>
          <w:iCs/>
        </w:rPr>
      </w:pPr>
      <w:r w:rsidRPr="001B1DA2">
        <w:rPr>
          <w:i/>
          <w:iCs/>
        </w:rPr>
        <w:t xml:space="preserve">² </w:t>
      </w:r>
      <w:proofErr w:type="spellStart"/>
      <w:r w:rsidRPr="001B1DA2">
        <w:rPr>
          <w:i/>
          <w:iCs/>
        </w:rPr>
        <w:t>Termez</w:t>
      </w:r>
      <w:proofErr w:type="spellEnd"/>
      <w:r w:rsidRPr="001B1DA2">
        <w:rPr>
          <w:i/>
          <w:iCs/>
        </w:rPr>
        <w:t xml:space="preserve"> State University of Engineering and </w:t>
      </w:r>
      <w:proofErr w:type="spellStart"/>
      <w:r w:rsidRPr="001B1DA2">
        <w:rPr>
          <w:i/>
          <w:iCs/>
        </w:rPr>
        <w:t>Agrotechnologies</w:t>
      </w:r>
      <w:proofErr w:type="spellEnd"/>
      <w:r w:rsidRPr="001B1DA2">
        <w:rPr>
          <w:i/>
          <w:iCs/>
        </w:rPr>
        <w:t xml:space="preserve">, </w:t>
      </w:r>
      <w:proofErr w:type="spellStart"/>
      <w:r w:rsidRPr="001B1DA2">
        <w:rPr>
          <w:i/>
          <w:iCs/>
        </w:rPr>
        <w:t>Termez</w:t>
      </w:r>
      <w:proofErr w:type="spellEnd"/>
      <w:r w:rsidRPr="001B1DA2">
        <w:rPr>
          <w:i/>
          <w:iCs/>
        </w:rPr>
        <w:t>, Uzbekistan</w:t>
      </w:r>
    </w:p>
    <w:p w14:paraId="72945656" w14:textId="77777777" w:rsidR="001B1DA2" w:rsidRPr="001B1DA2" w:rsidRDefault="001B1DA2" w:rsidP="001B1DA2">
      <w:pPr>
        <w:rPr>
          <w:i/>
          <w:iCs/>
        </w:rPr>
      </w:pPr>
    </w:p>
    <w:p w14:paraId="7EF136E3" w14:textId="18D1627C" w:rsidR="00677D10" w:rsidRDefault="009F2248">
      <w:pPr>
        <w:spacing w:line="480" w:lineRule="auto"/>
      </w:pPr>
      <w:r>
        <w:rPr>
          <w:noProof/>
        </w:rPr>
        <w:drawing>
          <wp:inline distT="0" distB="0" distL="0" distR="0" wp14:anchorId="062B3855" wp14:editId="431CD671">
            <wp:extent cx="116840" cy="80645"/>
            <wp:effectExtent l="0" t="0" r="0" b="0"/>
            <wp:docPr id="1"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3"/>
                    <pic:cNvPicPr>
                      <a:picLocks noChangeAspect="1" noChangeArrowheads="1"/>
                    </pic:cNvPicPr>
                  </pic:nvPicPr>
                  <pic:blipFill>
                    <a:blip r:embed="rId8" cstate="print">
                      <a:extLst>
                        <a:ext uri="{28A0092B-C50C-407E-A947-70E740481C1C}">
                          <a14:useLocalDpi xmlns:a14="http://schemas.microsoft.com/office/drawing/2010/main" val="0"/>
                        </a:ext>
                      </a:extLst>
                    </a:blip>
                    <a:srcRect l="21333" t="17969" r="21379" b="17969"/>
                    <a:stretch>
                      <a:fillRect/>
                    </a:stretch>
                  </pic:blipFill>
                  <pic:spPr>
                    <a:xfrm>
                      <a:off x="0" y="0"/>
                      <a:ext cx="116840" cy="80645"/>
                    </a:xfrm>
                    <a:prstGeom prst="rect">
                      <a:avLst/>
                    </a:prstGeom>
                    <a:noFill/>
                    <a:ln>
                      <a:noFill/>
                    </a:ln>
                  </pic:spPr>
                </pic:pic>
              </a:graphicData>
            </a:graphic>
          </wp:inline>
        </w:drawing>
      </w:r>
      <w:r>
        <w:rPr>
          <w:lang w:val="uz-Cyrl-UZ"/>
        </w:rPr>
        <w:t xml:space="preserve"> </w:t>
      </w:r>
      <w:hyperlink r:id="rId9" w:history="1">
        <w:r w:rsidR="001B1DA2" w:rsidRPr="000D4156">
          <w:rPr>
            <w:rStyle w:val="af9"/>
          </w:rPr>
          <w:t>ktojibaev@mail.ru</w:t>
        </w:r>
      </w:hyperlink>
      <w:r w:rsidR="001B1DA2">
        <w:t xml:space="preserve"> </w:t>
      </w:r>
    </w:p>
    <w:p w14:paraId="7FE92DBB" w14:textId="77777777" w:rsidR="00677D10" w:rsidRDefault="00677D10"/>
    <w:p w14:paraId="2F8C4FC7" w14:textId="77777777" w:rsidR="00677D10" w:rsidRDefault="009F2248">
      <w:pPr>
        <w:jc w:val="both"/>
        <w:rPr>
          <w:b/>
          <w:bCs/>
        </w:rPr>
      </w:pPr>
      <w:r>
        <w:rPr>
          <w:b/>
          <w:bCs/>
        </w:rPr>
        <w:t>ABSTRACT</w:t>
      </w:r>
    </w:p>
    <w:p w14:paraId="6668AB08" w14:textId="60036E4A" w:rsidR="002B53A6" w:rsidRDefault="001B1DA2" w:rsidP="002B53A6">
      <w:pPr>
        <w:jc w:val="both"/>
      </w:pPr>
      <w:r w:rsidRPr="008256BC">
        <w:t>This study evaluate</w:t>
      </w:r>
      <w:r w:rsidR="00B921B6">
        <w:t>d</w:t>
      </w:r>
      <w:r w:rsidRPr="008256BC">
        <w:t xml:space="preserve"> the dominance of polymorphic floristic families in the flora of </w:t>
      </w:r>
      <w:proofErr w:type="spellStart"/>
      <w:r w:rsidRPr="008256BC">
        <w:t>Surkhandarya</w:t>
      </w:r>
      <w:proofErr w:type="spellEnd"/>
      <w:r w:rsidRPr="008256BC">
        <w:t xml:space="preserve"> using an integrated, multidimensional approach. A total of 64,619 georeferenced occurrence records representing 2,202 species were analyzed to assess spatial, ecological, and taxonomic patterns. Spatial dominance was quantified using Kernel Density Estimation (KDE) and a triangulation-based approach </w:t>
      </w:r>
      <w:r>
        <w:t>to estimate the actual</w:t>
      </w:r>
      <w:r w:rsidRPr="008256BC">
        <w:t xml:space="preserve"> </w:t>
      </w:r>
      <w:r>
        <w:t>area of distribution</w:t>
      </w:r>
      <w:r w:rsidRPr="008256BC">
        <w:t xml:space="preserve">. Ecological differentiation was assessed through Principal Component Analysis (PCA) and niche breadth, while taxonomic diversity was measured using the Shannon Diversity Index (SDI). The results revealed significant variation among families across all dimensions. </w:t>
      </w:r>
      <w:proofErr w:type="spellStart"/>
      <w:r w:rsidRPr="008256BC">
        <w:t>Fabaceae</w:t>
      </w:r>
      <w:proofErr w:type="spellEnd"/>
      <w:r w:rsidRPr="008256BC">
        <w:t xml:space="preserve">, </w:t>
      </w:r>
      <w:proofErr w:type="spellStart"/>
      <w:r w:rsidRPr="008256BC">
        <w:t>Asteraceae</w:t>
      </w:r>
      <w:proofErr w:type="spellEnd"/>
      <w:r w:rsidRPr="008256BC">
        <w:t xml:space="preserve">, and </w:t>
      </w:r>
      <w:proofErr w:type="spellStart"/>
      <w:r w:rsidRPr="008256BC">
        <w:t>Poaceae</w:t>
      </w:r>
      <w:proofErr w:type="spellEnd"/>
      <w:r w:rsidRPr="008256BC">
        <w:t xml:space="preserve"> exhibited the highest spatial coverage and intensity, while ecological analyses showed that niche breadth </w:t>
      </w:r>
      <w:r w:rsidR="00B921B6">
        <w:t>was</w:t>
      </w:r>
      <w:r w:rsidR="00B921B6" w:rsidRPr="008256BC">
        <w:t xml:space="preserve"> </w:t>
      </w:r>
      <w:r w:rsidRPr="008256BC">
        <w:t>not directly correlated with taxonomic richness. The integrated Polymorph Stability Index (PSI) identified th</w:t>
      </w:r>
      <w:bookmarkStart w:id="0" w:name="_GoBack"/>
      <w:bookmarkEnd w:id="0"/>
      <w:r w:rsidR="00B921B6">
        <w:t>o</w:t>
      </w:r>
      <w:r w:rsidRPr="008256BC">
        <w:t>se families as the core polymorphic components of the regional flora. Overall, the findings demonstrate</w:t>
      </w:r>
      <w:r w:rsidR="00B921B6">
        <w:t>d</w:t>
      </w:r>
      <w:r w:rsidRPr="008256BC">
        <w:t xml:space="preserve"> that floristic dominance cannot be explained by a single factor, but rather emerges from the combined effects of spatial, ecological, and taxonomic processes. The proposed PSI framework provides a robust and transferable tool for comprehensive floristic analysis in other regions.</w:t>
      </w:r>
    </w:p>
    <w:p w14:paraId="29080A83" w14:textId="77777777" w:rsidR="00677D10" w:rsidRDefault="00677D10"/>
    <w:p w14:paraId="61E13908" w14:textId="17197524" w:rsidR="00677D10" w:rsidRDefault="009F2248">
      <w:pPr>
        <w:jc w:val="both"/>
        <w:rPr>
          <w:lang w:val="en-GB"/>
        </w:rPr>
      </w:pPr>
      <w:r>
        <w:rPr>
          <w:b/>
        </w:rPr>
        <w:t>Key words:</w:t>
      </w:r>
      <w:r>
        <w:t xml:space="preserve"> </w:t>
      </w:r>
      <w:r w:rsidR="001B1DA2" w:rsidRPr="008256BC">
        <w:t xml:space="preserve">Polymorph Stability Index (PSI); floristic families; spatial analysis; ecological gradients; niche breadth; </w:t>
      </w:r>
      <w:proofErr w:type="spellStart"/>
      <w:r w:rsidR="001B1DA2" w:rsidRPr="008256BC">
        <w:t>Surkhandarya</w:t>
      </w:r>
      <w:proofErr w:type="spellEnd"/>
    </w:p>
    <w:p w14:paraId="1855D754" w14:textId="77777777" w:rsidR="00677D10" w:rsidRDefault="00677D10"/>
    <w:p w14:paraId="0490DE9D" w14:textId="77777777" w:rsidR="00C7702F" w:rsidRDefault="00C7702F">
      <w:pPr>
        <w:autoSpaceDE w:val="0"/>
        <w:autoSpaceDN w:val="0"/>
        <w:adjustRightInd w:val="0"/>
        <w:rPr>
          <w:b/>
          <w:bCs/>
        </w:rPr>
        <w:sectPr w:rsidR="00C7702F" w:rsidSect="00C7702F">
          <w:headerReference w:type="even" r:id="rId10"/>
          <w:headerReference w:type="default" r:id="rId11"/>
          <w:footerReference w:type="even" r:id="rId12"/>
          <w:footerReference w:type="default" r:id="rId13"/>
          <w:headerReference w:type="first" r:id="rId14"/>
          <w:footerReference w:type="first" r:id="rId15"/>
          <w:pgSz w:w="12240" w:h="15840"/>
          <w:pgMar w:top="1134" w:right="1134" w:bottom="1134" w:left="1134" w:header="426" w:footer="720" w:gutter="0"/>
          <w:cols w:space="720"/>
          <w:titlePg/>
          <w:docGrid w:linePitch="360"/>
        </w:sectPr>
      </w:pPr>
    </w:p>
    <w:p w14:paraId="303268D0" w14:textId="03B2FC97" w:rsidR="00677D10" w:rsidRDefault="00677D10">
      <w:pPr>
        <w:autoSpaceDE w:val="0"/>
        <w:autoSpaceDN w:val="0"/>
        <w:adjustRightInd w:val="0"/>
        <w:rPr>
          <w:b/>
          <w:bCs/>
        </w:rPr>
      </w:pPr>
    </w:p>
    <w:p w14:paraId="297E76BB" w14:textId="0B37ED6E" w:rsidR="00677D10" w:rsidRDefault="006D1796">
      <w:pPr>
        <w:autoSpaceDE w:val="0"/>
        <w:autoSpaceDN w:val="0"/>
        <w:adjustRightInd w:val="0"/>
        <w:jc w:val="both"/>
        <w:rPr>
          <w:b/>
          <w:bCs/>
          <w:sz w:val="28"/>
          <w:szCs w:val="28"/>
        </w:rPr>
      </w:pPr>
      <w:r>
        <w:rPr>
          <w:b/>
          <w:bCs/>
          <w:sz w:val="28"/>
          <w:szCs w:val="28"/>
        </w:rPr>
        <w:t>INTRODUCTION</w:t>
      </w:r>
    </w:p>
    <w:p w14:paraId="739D9EE6" w14:textId="77777777" w:rsidR="00677D10" w:rsidRDefault="00677D10">
      <w:pPr>
        <w:autoSpaceDE w:val="0"/>
        <w:autoSpaceDN w:val="0"/>
        <w:adjustRightInd w:val="0"/>
        <w:jc w:val="both"/>
        <w:rPr>
          <w:b/>
          <w:bCs/>
        </w:rPr>
      </w:pPr>
    </w:p>
    <w:p w14:paraId="32461C7E" w14:textId="77777777" w:rsidR="001B1DA2" w:rsidRPr="00F56479" w:rsidRDefault="001B1DA2" w:rsidP="00565AE6">
      <w:pPr>
        <w:jc w:val="both"/>
      </w:pPr>
      <w:r w:rsidRPr="00F56479">
        <w:t xml:space="preserve">The identification of plant composition </w:t>
      </w:r>
      <w:r>
        <w:t>in a given region and the assessment of its ecological characteristics are among</w:t>
      </w:r>
      <w:r w:rsidRPr="00F56479">
        <w:t xml:space="preserve"> the key directions of modern ecological research (</w:t>
      </w:r>
      <w:proofErr w:type="spellStart"/>
      <w:r w:rsidRPr="00F56479">
        <w:t>Haq</w:t>
      </w:r>
      <w:proofErr w:type="spellEnd"/>
      <w:r w:rsidRPr="00F56479">
        <w:t xml:space="preserve"> et al., 2023; Khan et al., 2025). Analyzing the relationships between plant species and environmental factors such as climate, soil, and topography is essential for understanding distribution patterns as well as the mechanisms of adaptation to environmental </w:t>
      </w:r>
      <w:r w:rsidRPr="00F56479">
        <w:lastRenderedPageBreak/>
        <w:t>changes (</w:t>
      </w:r>
      <w:proofErr w:type="spellStart"/>
      <w:r w:rsidRPr="00F56479">
        <w:t>Bañares</w:t>
      </w:r>
      <w:proofErr w:type="spellEnd"/>
      <w:r w:rsidRPr="00F56479">
        <w:t>-de-Dios et al., 2022). From this perspective, analyzing floristic composition at the family level and determining their spatial and ecological dominance constitute an important scientific task (Ma et al., 2024).</w:t>
      </w:r>
      <w:r>
        <w:t xml:space="preserve"> </w:t>
      </w:r>
      <w:r w:rsidRPr="00F56479">
        <w:t xml:space="preserve">In floristic research, the concept of polymorphic floristic families holds particular importance. This concept refers to plant families that exhibit broad geographic distribution, occur across diverse ecological conditions, and are characterized by high internal taxonomic diversity. Such families demonstrate high </w:t>
      </w:r>
      <w:r w:rsidRPr="00F56479">
        <w:lastRenderedPageBreak/>
        <w:t>ecological adaptability and are distinguished by their ability to maintain stable distribution across a wide range of environmental conditions (</w:t>
      </w:r>
      <w:proofErr w:type="spellStart"/>
      <w:r w:rsidRPr="00F56479">
        <w:t>Slatyer</w:t>
      </w:r>
      <w:proofErr w:type="spellEnd"/>
      <w:r w:rsidRPr="00F56479">
        <w:t xml:space="preserve"> et al., 2013; </w:t>
      </w:r>
      <w:proofErr w:type="spellStart"/>
      <w:r w:rsidRPr="00F56479">
        <w:t>Mouillot</w:t>
      </w:r>
      <w:proofErr w:type="spellEnd"/>
      <w:r w:rsidRPr="00F56479">
        <w:t xml:space="preserve"> et al., 2013). The degree of polymorphism </w:t>
      </w:r>
      <w:r>
        <w:t>is an important indicator of the</w:t>
      </w:r>
      <w:r w:rsidRPr="00F56479">
        <w:t xml:space="preserve"> ecological roles and adaptive strategies of plants (</w:t>
      </w:r>
      <w:proofErr w:type="spellStart"/>
      <w:r w:rsidRPr="00F56479">
        <w:t>Devictor</w:t>
      </w:r>
      <w:proofErr w:type="spellEnd"/>
      <w:r w:rsidRPr="00F56479">
        <w:t xml:space="preserve"> et al., 2010; </w:t>
      </w:r>
      <w:proofErr w:type="spellStart"/>
      <w:r w:rsidRPr="00F56479">
        <w:t>Slatyer</w:t>
      </w:r>
      <w:proofErr w:type="spellEnd"/>
      <w:r w:rsidRPr="00F56479">
        <w:t xml:space="preserve"> et al., 2013).</w:t>
      </w:r>
      <w:r>
        <w:t xml:space="preserve"> </w:t>
      </w:r>
      <w:r w:rsidRPr="00F56479">
        <w:t>However, in existing studies, polymorphic floristic families have often been identified using simplified approaches based solely on species richness (Fleishman et al., 2006; Morris et al., 2014). Such approaches do not adequately account for key factors</w:t>
      </w:r>
      <w:r>
        <w:t>, including</w:t>
      </w:r>
      <w:r w:rsidRPr="00F56479">
        <w:t xml:space="preserve"> ecological adaptability and spatial distribution. For instance, in grid-based mapping studies conducted in the </w:t>
      </w:r>
      <w:proofErr w:type="spellStart"/>
      <w:r w:rsidRPr="00F56479">
        <w:t>Surkhandarya</w:t>
      </w:r>
      <w:proofErr w:type="spellEnd"/>
      <w:r w:rsidRPr="00F56479">
        <w:t xml:space="preserve"> region, species richness has been used as the primary criterion (</w:t>
      </w:r>
      <w:proofErr w:type="spellStart"/>
      <w:r w:rsidRPr="00BF37A1">
        <w:rPr>
          <w:highlight w:val="cyan"/>
        </w:rPr>
        <w:t>Tojibaev</w:t>
      </w:r>
      <w:proofErr w:type="spellEnd"/>
      <w:r w:rsidRPr="00BF37A1">
        <w:rPr>
          <w:highlight w:val="cyan"/>
        </w:rPr>
        <w:t xml:space="preserve"> et al., 2022; </w:t>
      </w:r>
      <w:proofErr w:type="spellStart"/>
      <w:r w:rsidRPr="00BF37A1">
        <w:rPr>
          <w:highlight w:val="cyan"/>
        </w:rPr>
        <w:t>Juramurodov</w:t>
      </w:r>
      <w:proofErr w:type="spellEnd"/>
      <w:r w:rsidRPr="00BF37A1">
        <w:rPr>
          <w:highlight w:val="cyan"/>
        </w:rPr>
        <w:t xml:space="preserve"> et al., 2025</w:t>
      </w:r>
      <w:r w:rsidRPr="00F56479">
        <w:t>). Therefore, there is a clear need to apply multidimensional approaches for evaluating polymorphic floristic families (</w:t>
      </w:r>
      <w:proofErr w:type="spellStart"/>
      <w:r w:rsidRPr="00F56479">
        <w:t>Devictor</w:t>
      </w:r>
      <w:proofErr w:type="spellEnd"/>
      <w:r w:rsidRPr="00F56479">
        <w:t xml:space="preserve"> et al., 2010).</w:t>
      </w:r>
    </w:p>
    <w:p w14:paraId="46BFD5DB" w14:textId="77777777" w:rsidR="001B1DA2" w:rsidRPr="00F56479" w:rsidRDefault="001B1DA2" w:rsidP="001B1DA2">
      <w:pPr>
        <w:ind w:firstLine="708"/>
        <w:jc w:val="both"/>
      </w:pPr>
      <w:r w:rsidRPr="00F56479">
        <w:t xml:space="preserve">Modern ecological research provides opportunities to analyze spatial, ecological, and taxonomic components in an integrated manner. Spatial dominance can be effectively assessed using Kernel Density Estimation (KDE), which quantifies the </w:t>
      </w:r>
      <w:r>
        <w:t>intensity of species and family distributions</w:t>
      </w:r>
      <w:r w:rsidRPr="00F56479">
        <w:t xml:space="preserve"> (Jana et al., 2024), while geographic range can be estimated using triangulation-based convex hull approaches (Meyer et al., 2020). Ecological dominance can be evaluated through Principal Component Analysis (PCA) (</w:t>
      </w:r>
      <w:proofErr w:type="spellStart"/>
      <w:r w:rsidRPr="00F56479">
        <w:t>Jolliffe</w:t>
      </w:r>
      <w:proofErr w:type="spellEnd"/>
      <w:r w:rsidRPr="00F56479">
        <w:t xml:space="preserve"> &amp; </w:t>
      </w:r>
      <w:proofErr w:type="spellStart"/>
      <w:r w:rsidRPr="00F56479">
        <w:t>Cadima</w:t>
      </w:r>
      <w:proofErr w:type="spellEnd"/>
      <w:r w:rsidRPr="00F56479">
        <w:t>, 2016; Legendre &amp; Legendre, 2012) and niche breadth metrics (</w:t>
      </w:r>
      <w:proofErr w:type="spellStart"/>
      <w:r w:rsidRPr="00F56479">
        <w:t>Slatyer</w:t>
      </w:r>
      <w:proofErr w:type="spellEnd"/>
      <w:r w:rsidRPr="00F56479">
        <w:t xml:space="preserve"> et al., 2013), whereas taxonomic diversity is commonly assessed using the Shannon Diversity Index (Morris et al., 2014).</w:t>
      </w:r>
      <w:r>
        <w:t xml:space="preserve"> </w:t>
      </w:r>
    </w:p>
    <w:p w14:paraId="487C025B" w14:textId="2A5DACEC" w:rsidR="001B1DA2" w:rsidRDefault="001B1DA2" w:rsidP="001B1DA2">
      <w:pPr>
        <w:ind w:firstLine="708"/>
        <w:jc w:val="both"/>
      </w:pPr>
      <w:r w:rsidRPr="00F56479">
        <w:t>Based on the integration of these spatial, ecological, and taxonomic components, this study proposes and applies a novel integrative metric—the Polymorph Stability Index (PSI)—to comprehensively evaluate polymorphic floristic families.</w:t>
      </w:r>
    </w:p>
    <w:p w14:paraId="21D3A3AE" w14:textId="77777777" w:rsidR="00BB1A53" w:rsidRDefault="00BB1A53" w:rsidP="001B1DA2">
      <w:pPr>
        <w:jc w:val="both"/>
        <w:rPr>
          <w:b/>
          <w:bCs/>
        </w:rPr>
      </w:pPr>
    </w:p>
    <w:p w14:paraId="5873480E" w14:textId="135E4040" w:rsidR="001B1DA2" w:rsidRDefault="001B1DA2" w:rsidP="001B1DA2">
      <w:pPr>
        <w:jc w:val="both"/>
        <w:rPr>
          <w:b/>
          <w:bCs/>
        </w:rPr>
      </w:pPr>
      <w:r w:rsidRPr="008256BC">
        <w:rPr>
          <w:b/>
          <w:bCs/>
        </w:rPr>
        <w:t>2. Materials and Methods</w:t>
      </w:r>
    </w:p>
    <w:p w14:paraId="03C8705B" w14:textId="77777777" w:rsidR="00BB1A53" w:rsidRDefault="00BB1A53" w:rsidP="001B1DA2">
      <w:pPr>
        <w:jc w:val="both"/>
        <w:rPr>
          <w:b/>
          <w:bCs/>
        </w:rPr>
      </w:pPr>
    </w:p>
    <w:p w14:paraId="59A0299C" w14:textId="7CCA9BD0" w:rsidR="001B1DA2" w:rsidRDefault="001B1DA2" w:rsidP="001B1DA2">
      <w:pPr>
        <w:jc w:val="both"/>
        <w:rPr>
          <w:b/>
          <w:bCs/>
        </w:rPr>
      </w:pPr>
      <w:r w:rsidRPr="008256BC">
        <w:rPr>
          <w:b/>
          <w:bCs/>
        </w:rPr>
        <w:t>2.1. Data collection and processing</w:t>
      </w:r>
    </w:p>
    <w:p w14:paraId="70692E6B" w14:textId="7EAAE8E4" w:rsidR="001B1DA2" w:rsidRDefault="001B1DA2" w:rsidP="00565AE6">
      <w:pPr>
        <w:jc w:val="both"/>
      </w:pPr>
      <w:r w:rsidRPr="008256BC">
        <w:lastRenderedPageBreak/>
        <w:t xml:space="preserve">The study was based on georeferenced occurrence records of vascular plants recorded within </w:t>
      </w:r>
      <w:proofErr w:type="spellStart"/>
      <w:r w:rsidRPr="008256BC">
        <w:t>Surkhandarya</w:t>
      </w:r>
      <w:proofErr w:type="spellEnd"/>
      <w:r w:rsidRPr="008256BC">
        <w:t xml:space="preserve"> Province. The dataset was compiled from field surveys conducted between 2020 and 2024, herbarium collections (ASH, BM, E, H, LE, M, MW</w:t>
      </w:r>
      <w:r w:rsidR="00B921B6">
        <w:t xml:space="preserve">, </w:t>
      </w:r>
      <w:r w:rsidR="00B921B6" w:rsidRPr="008256BC">
        <w:t>TASH</w:t>
      </w:r>
      <w:r>
        <w:t xml:space="preserve">; </w:t>
      </w:r>
      <w:r w:rsidRPr="00BF37A1">
        <w:rPr>
          <w:highlight w:val="cyan"/>
        </w:rPr>
        <w:t xml:space="preserve">herbarium acronyms according to Index </w:t>
      </w:r>
      <w:proofErr w:type="spellStart"/>
      <w:r w:rsidRPr="00BF37A1">
        <w:rPr>
          <w:highlight w:val="cyan"/>
        </w:rPr>
        <w:t>Herbariorum</w:t>
      </w:r>
      <w:proofErr w:type="spellEnd"/>
      <w:r w:rsidRPr="00BF37A1">
        <w:rPr>
          <w:highlight w:val="cyan"/>
        </w:rPr>
        <w:t>: Thiers, continuously updated</w:t>
      </w:r>
      <w:r w:rsidRPr="008256BC">
        <w:t xml:space="preserve">), and open-access sources (plantarium.ru). The final dataset comprised 64,619 occurrence records representing 2,202 species belonging to 615 genera and 96 families. Data quality control involved removing records without geographic coordinates and duplicate entries, resulting in a cleaned dataset of more than 53,000 records. Spatial filtering was applied to retain only records located within the boundaries of </w:t>
      </w:r>
      <w:proofErr w:type="spellStart"/>
      <w:r w:rsidRPr="008256BC">
        <w:t>Surkhandarya</w:t>
      </w:r>
      <w:proofErr w:type="spellEnd"/>
      <w:r w:rsidRPr="008256BC">
        <w:t xml:space="preserve"> Province. The uneven spatial distribution of occurrence data, a common characteristic of large biodiversity databases, was </w:t>
      </w:r>
      <w:r>
        <w:t>accounted for</w:t>
      </w:r>
      <w:r w:rsidRPr="008256BC">
        <w:t xml:space="preserve"> (</w:t>
      </w:r>
      <w:r w:rsidRPr="008256BC">
        <w:rPr>
          <w:highlight w:val="yellow"/>
        </w:rPr>
        <w:t>Beck et al., 2014; Meyer et al., 2016</w:t>
      </w:r>
      <w:r w:rsidRPr="008256BC">
        <w:t>). All spatial analyses were performed in the UTM 42N coordinate system (EPSG:32642) to ensure metric accuracy, while visualization was conducted in the WGS84 coordinate system (EPSG:4326).</w:t>
      </w:r>
    </w:p>
    <w:p w14:paraId="6E55CC03" w14:textId="77777777" w:rsidR="00BB1A53" w:rsidRPr="008256BC" w:rsidRDefault="00BB1A53" w:rsidP="001B1DA2">
      <w:pPr>
        <w:ind w:firstLine="708"/>
        <w:jc w:val="both"/>
      </w:pPr>
    </w:p>
    <w:p w14:paraId="0E26BC87" w14:textId="17B319D9" w:rsidR="001B1DA2" w:rsidRDefault="001B1DA2" w:rsidP="001B1DA2">
      <w:pPr>
        <w:jc w:val="both"/>
        <w:rPr>
          <w:b/>
          <w:bCs/>
        </w:rPr>
      </w:pPr>
      <w:r w:rsidRPr="008256BC">
        <w:rPr>
          <w:b/>
          <w:bCs/>
        </w:rPr>
        <w:t>2.2. Spatial intensity (KDE) and geographic range (convex hull approach)</w:t>
      </w:r>
    </w:p>
    <w:p w14:paraId="4CF3686E" w14:textId="77777777" w:rsidR="00BB1A53" w:rsidRPr="008256BC" w:rsidRDefault="00BB1A53" w:rsidP="001B1DA2">
      <w:pPr>
        <w:jc w:val="both"/>
        <w:rPr>
          <w:b/>
          <w:bCs/>
        </w:rPr>
      </w:pPr>
    </w:p>
    <w:p w14:paraId="7F1B520B" w14:textId="77777777" w:rsidR="001B1DA2" w:rsidRPr="008256BC" w:rsidRDefault="001B1DA2" w:rsidP="00565AE6">
      <w:pPr>
        <w:jc w:val="both"/>
      </w:pPr>
      <w:r w:rsidRPr="008256BC">
        <w:t xml:space="preserve">The spatial intensity of floristic families was quantified using Kernel Density Estimation (KDE), a </w:t>
      </w:r>
      <w:r>
        <w:t>widely used method for detecting</w:t>
      </w:r>
      <w:r w:rsidRPr="008256BC">
        <w:t xml:space="preserve"> spatial patterns in ecological data (</w:t>
      </w:r>
      <w:r w:rsidRPr="001E0973">
        <w:rPr>
          <w:highlight w:val="yellow"/>
        </w:rPr>
        <w:t>Jana et al., 2024; Meyer et al., 2020</w:t>
      </w:r>
      <w:r w:rsidRPr="008256BC">
        <w:t xml:space="preserve">). A Gaussian kernel with a bandwidth of σ = 5000 m and a raster resolution of 200 m was used. For each family, the 95th percentile of density values (Q95) was selected as the </w:t>
      </w:r>
      <w:r>
        <w:t>primary indicator, as it provides a robust measure of high-density areas and is</w:t>
      </w:r>
      <w:r w:rsidRPr="008256BC">
        <w:t xml:space="preserve"> less sensitive to extreme values (</w:t>
      </w:r>
      <w:r w:rsidRPr="008256BC">
        <w:rPr>
          <w:highlight w:val="yellow"/>
        </w:rPr>
        <w:t>Legendre &amp; Legendre, 2012</w:t>
      </w:r>
      <w:r w:rsidRPr="008256BC">
        <w:t>). Geographic range size was estimated using a triangulation–threshold approach based on Delaunay triangulation (</w:t>
      </w:r>
      <w:r w:rsidRPr="008256BC">
        <w:rPr>
          <w:highlight w:val="yellow"/>
        </w:rPr>
        <w:t>Meyer et al., 2020</w:t>
      </w:r>
      <w:r w:rsidRPr="008256BC">
        <w:t xml:space="preserve">). Triangles with edges longer than 10,000 m were removed, and the remaining triangles were merged to calculate the final area. This approach reduces the overestimation bias commonly associated with the traditional </w:t>
      </w:r>
      <w:r w:rsidRPr="008256BC">
        <w:lastRenderedPageBreak/>
        <w:t>convex hull method, providing a more ecologically realistic estimate of species distribution range.</w:t>
      </w:r>
    </w:p>
    <w:p w14:paraId="5B1E8ED0" w14:textId="77777777" w:rsidR="00BB1A53" w:rsidRDefault="00BB1A53" w:rsidP="001B1DA2">
      <w:pPr>
        <w:jc w:val="both"/>
        <w:rPr>
          <w:b/>
          <w:bCs/>
        </w:rPr>
      </w:pPr>
    </w:p>
    <w:p w14:paraId="56276961" w14:textId="060EAF89" w:rsidR="001B1DA2" w:rsidRDefault="001B1DA2" w:rsidP="001B1DA2">
      <w:pPr>
        <w:jc w:val="both"/>
        <w:rPr>
          <w:b/>
          <w:bCs/>
        </w:rPr>
      </w:pPr>
      <w:r w:rsidRPr="008256BC">
        <w:rPr>
          <w:b/>
          <w:bCs/>
        </w:rPr>
        <w:t>2.3. Environmental variables and analysis</w:t>
      </w:r>
    </w:p>
    <w:p w14:paraId="7C70D609" w14:textId="77777777" w:rsidR="00BB1A53" w:rsidRPr="008256BC" w:rsidRDefault="00BB1A53" w:rsidP="001B1DA2">
      <w:pPr>
        <w:jc w:val="both"/>
        <w:rPr>
          <w:b/>
          <w:bCs/>
        </w:rPr>
      </w:pPr>
    </w:p>
    <w:p w14:paraId="410291F8" w14:textId="355B4808" w:rsidR="001B1DA2" w:rsidRPr="008256BC" w:rsidRDefault="001B1DA2" w:rsidP="00565AE6">
      <w:pPr>
        <w:jc w:val="both"/>
      </w:pPr>
      <w:r w:rsidRPr="008256BC">
        <w:t>Climatic, edaphic, and topographic variables were selected for the ecological analysis</w:t>
      </w:r>
      <w:r>
        <w:t xml:space="preserve"> because th</w:t>
      </w:r>
      <w:r w:rsidR="00B921B6">
        <w:t>o</w:t>
      </w:r>
      <w:r>
        <w:t>se factors are</w:t>
      </w:r>
      <w:r w:rsidRPr="008256BC">
        <w:t xml:space="preserve"> key determinants of plant ecological niche and distribution patterns (</w:t>
      </w:r>
      <w:proofErr w:type="spellStart"/>
      <w:r w:rsidRPr="008256BC">
        <w:rPr>
          <w:highlight w:val="yellow"/>
        </w:rPr>
        <w:t>Elith</w:t>
      </w:r>
      <w:proofErr w:type="spellEnd"/>
      <w:r w:rsidRPr="008256BC">
        <w:rPr>
          <w:highlight w:val="yellow"/>
        </w:rPr>
        <w:t xml:space="preserve"> &amp; </w:t>
      </w:r>
      <w:proofErr w:type="spellStart"/>
      <w:r w:rsidRPr="008256BC">
        <w:rPr>
          <w:highlight w:val="yellow"/>
        </w:rPr>
        <w:t>Leathwick</w:t>
      </w:r>
      <w:proofErr w:type="spellEnd"/>
      <w:r w:rsidRPr="008256BC">
        <w:rPr>
          <w:highlight w:val="yellow"/>
        </w:rPr>
        <w:t>, 2009; Franklin, 2010</w:t>
      </w:r>
      <w:r w:rsidRPr="008256BC">
        <w:t xml:space="preserve">). Bioclimatic variables were obtained from the </w:t>
      </w:r>
      <w:proofErr w:type="spellStart"/>
      <w:r w:rsidRPr="008256BC">
        <w:t>WorldClim</w:t>
      </w:r>
      <w:proofErr w:type="spellEnd"/>
      <w:r w:rsidRPr="008256BC">
        <w:t xml:space="preserve"> 2.1 database (</w:t>
      </w:r>
      <w:r w:rsidRPr="008256BC">
        <w:rPr>
          <w:highlight w:val="yellow"/>
        </w:rPr>
        <w:t xml:space="preserve">Fick &amp; </w:t>
      </w:r>
      <w:proofErr w:type="spellStart"/>
      <w:r w:rsidRPr="008256BC">
        <w:rPr>
          <w:highlight w:val="yellow"/>
        </w:rPr>
        <w:t>Hijmans</w:t>
      </w:r>
      <w:proofErr w:type="spellEnd"/>
      <w:r w:rsidRPr="008256BC">
        <w:rPr>
          <w:highlight w:val="yellow"/>
        </w:rPr>
        <w:t>, 2017</w:t>
      </w:r>
      <w:r w:rsidRPr="008256BC">
        <w:t xml:space="preserve">), while soil properties were derived from </w:t>
      </w:r>
      <w:proofErr w:type="spellStart"/>
      <w:r w:rsidRPr="008256BC">
        <w:t>SoilGrids</w:t>
      </w:r>
      <w:proofErr w:type="spellEnd"/>
      <w:r w:rsidRPr="008256BC">
        <w:t xml:space="preserve"> datasets (</w:t>
      </w:r>
      <w:proofErr w:type="spellStart"/>
      <w:r w:rsidRPr="008256BC">
        <w:rPr>
          <w:highlight w:val="yellow"/>
        </w:rPr>
        <w:t>Hengl</w:t>
      </w:r>
      <w:proofErr w:type="spellEnd"/>
      <w:r w:rsidRPr="008256BC">
        <w:rPr>
          <w:highlight w:val="yellow"/>
        </w:rPr>
        <w:t xml:space="preserve"> et al., 2017</w:t>
      </w:r>
      <w:r w:rsidRPr="008256BC">
        <w:t>). Elevation was used as the topographic variable, as it is a major driver of ecological gradients (</w:t>
      </w:r>
      <w:proofErr w:type="spellStart"/>
      <w:r w:rsidRPr="008256BC">
        <w:rPr>
          <w:highlight w:val="yellow"/>
        </w:rPr>
        <w:t>Körner</w:t>
      </w:r>
      <w:proofErr w:type="spellEnd"/>
      <w:r w:rsidRPr="008256BC">
        <w:rPr>
          <w:highlight w:val="yellow"/>
        </w:rPr>
        <w:t>, 2007</w:t>
      </w:r>
      <w:r w:rsidRPr="008256BC">
        <w:t xml:space="preserve">). To reduce </w:t>
      </w:r>
      <w:proofErr w:type="spellStart"/>
      <w:r w:rsidRPr="008256BC">
        <w:t>multicollinearity</w:t>
      </w:r>
      <w:proofErr w:type="spellEnd"/>
      <w:r w:rsidRPr="008256BC">
        <w:t>, Pearson correlation analysis was performed, and variables with high correlation (|r| ≥ 0.7) were excluded (</w:t>
      </w:r>
      <w:proofErr w:type="spellStart"/>
      <w:r w:rsidRPr="008256BC">
        <w:rPr>
          <w:highlight w:val="yellow"/>
        </w:rPr>
        <w:t>Dormann</w:t>
      </w:r>
      <w:proofErr w:type="spellEnd"/>
      <w:r w:rsidRPr="008256BC">
        <w:rPr>
          <w:highlight w:val="yellow"/>
        </w:rPr>
        <w:t xml:space="preserve"> et al., 2013</w:t>
      </w:r>
      <w:r w:rsidRPr="008256BC">
        <w:t>). The final model retained five bioclimatic variables, two soil variables, and one elevation variable.</w:t>
      </w:r>
    </w:p>
    <w:p w14:paraId="1AA6A7DE" w14:textId="09E73B0B" w:rsidR="001B1DA2" w:rsidRDefault="001B1DA2" w:rsidP="001B1DA2">
      <w:pPr>
        <w:jc w:val="both"/>
      </w:pPr>
      <w:r w:rsidRPr="008256BC">
        <w:t>Ecological gradients were identified using Principal Component Analysis (PCA), and the</w:t>
      </w:r>
      <w:r w:rsidR="00B921B6">
        <w:t>n using</w:t>
      </w:r>
      <w:r w:rsidRPr="008256BC">
        <w:t xml:space="preserve"> </w:t>
      </w:r>
      <w:r w:rsidR="00B921B6">
        <w:t xml:space="preserve">the </w:t>
      </w:r>
      <w:r w:rsidRPr="008256BC">
        <w:t>first principal component (PCA1) as an integrated indicator of environmental variation (</w:t>
      </w:r>
      <w:proofErr w:type="spellStart"/>
      <w:r w:rsidRPr="008256BC">
        <w:rPr>
          <w:highlight w:val="yellow"/>
        </w:rPr>
        <w:t>Jolliffe</w:t>
      </w:r>
      <w:proofErr w:type="spellEnd"/>
      <w:r w:rsidRPr="008256BC">
        <w:rPr>
          <w:highlight w:val="yellow"/>
        </w:rPr>
        <w:t xml:space="preserve"> &amp; </w:t>
      </w:r>
      <w:proofErr w:type="spellStart"/>
      <w:r w:rsidRPr="008256BC">
        <w:rPr>
          <w:highlight w:val="yellow"/>
        </w:rPr>
        <w:t>Cadima</w:t>
      </w:r>
      <w:proofErr w:type="spellEnd"/>
      <w:r w:rsidRPr="008256BC">
        <w:rPr>
          <w:highlight w:val="yellow"/>
        </w:rPr>
        <w:t>, 2016; Legendre &amp; Legendre, 2012</w:t>
      </w:r>
      <w:r w:rsidRPr="008256BC">
        <w:t xml:space="preserve">). Ecological adaptability was quantified using a variance-based niche breadth index, which </w:t>
      </w:r>
      <w:r>
        <w:t>enables</w:t>
      </w:r>
      <w:r w:rsidRPr="008256BC">
        <w:t xml:space="preserve"> quantitative assessment of ecological amplitude (</w:t>
      </w:r>
      <w:proofErr w:type="spellStart"/>
      <w:r w:rsidRPr="008256BC">
        <w:rPr>
          <w:highlight w:val="yellow"/>
        </w:rPr>
        <w:t>Slatyer</w:t>
      </w:r>
      <w:proofErr w:type="spellEnd"/>
      <w:r w:rsidRPr="008256BC">
        <w:rPr>
          <w:highlight w:val="yellow"/>
        </w:rPr>
        <w:t xml:space="preserve"> et al., 2013</w:t>
      </w:r>
      <w:r w:rsidRPr="008256BC">
        <w:t>).</w:t>
      </w:r>
    </w:p>
    <w:p w14:paraId="12B81246" w14:textId="77777777" w:rsidR="00BB1A53" w:rsidRPr="008256BC" w:rsidRDefault="00BB1A53" w:rsidP="001B1DA2">
      <w:pPr>
        <w:jc w:val="both"/>
      </w:pPr>
    </w:p>
    <w:p w14:paraId="0682C226" w14:textId="5B647EDA" w:rsidR="001B1DA2" w:rsidRDefault="001B1DA2" w:rsidP="001B1DA2">
      <w:pPr>
        <w:jc w:val="both"/>
        <w:rPr>
          <w:b/>
          <w:bCs/>
        </w:rPr>
      </w:pPr>
      <w:r w:rsidRPr="008256BC">
        <w:rPr>
          <w:b/>
          <w:bCs/>
        </w:rPr>
        <w:t>2.4. Taxonomic diversity</w:t>
      </w:r>
    </w:p>
    <w:p w14:paraId="39634677" w14:textId="77777777" w:rsidR="00BB1A53" w:rsidRPr="008256BC" w:rsidRDefault="00BB1A53" w:rsidP="001B1DA2">
      <w:pPr>
        <w:jc w:val="both"/>
        <w:rPr>
          <w:b/>
          <w:bCs/>
        </w:rPr>
      </w:pPr>
    </w:p>
    <w:p w14:paraId="615EDEC1" w14:textId="496145E1" w:rsidR="001B1DA2" w:rsidRDefault="001B1DA2" w:rsidP="00565AE6">
      <w:pPr>
        <w:jc w:val="both"/>
      </w:pPr>
      <w:r w:rsidRPr="00794D22">
        <w:rPr>
          <w:highlight w:val="green"/>
        </w:rPr>
        <w:t>The nomenclature and circumscription of vascular plant families follow the Angiosperm Phylogeny Group IV (APG IV) classification (APG, 2016). The use of a standardized and widely accepted taxonomic framework ensures consistency in the delimitation of floristic units and enhances the comparability of taxonomic diversity patterns across datasets. This approach is particularly important for integrated analyses of floristic structure, where the reliability of diversity indices and comparative metrics depends on a uniform taxonomic baseline.</w:t>
      </w:r>
      <w:r w:rsidRPr="00794D22">
        <w:t xml:space="preserve"> </w:t>
      </w:r>
      <w:r w:rsidRPr="008256BC">
        <w:t xml:space="preserve">Taxonomic diversity was assessed using the Shannon Diversity Index (SDI). This index </w:t>
      </w:r>
      <w:r w:rsidRPr="008256BC">
        <w:lastRenderedPageBreak/>
        <w:t xml:space="preserve">incorporates both species richness and </w:t>
      </w:r>
      <w:r>
        <w:t>species relative abundance</w:t>
      </w:r>
      <w:r w:rsidRPr="008256BC">
        <w:t>, providing a comprehensive measure of diversity (</w:t>
      </w:r>
      <w:r w:rsidRPr="008256BC">
        <w:rPr>
          <w:highlight w:val="yellow"/>
        </w:rPr>
        <w:t>Morris et al., 2014</w:t>
      </w:r>
      <w:r w:rsidRPr="008256BC">
        <w:t>).</w:t>
      </w:r>
    </w:p>
    <w:p w14:paraId="33C2B696" w14:textId="77777777" w:rsidR="00BB1A53" w:rsidRPr="008256BC" w:rsidRDefault="00BB1A53" w:rsidP="001B1DA2">
      <w:pPr>
        <w:ind w:firstLine="708"/>
        <w:jc w:val="both"/>
      </w:pPr>
    </w:p>
    <w:p w14:paraId="0F947FBD" w14:textId="352CEFCC" w:rsidR="001B1DA2" w:rsidRDefault="001B1DA2" w:rsidP="001B1DA2">
      <w:pPr>
        <w:rPr>
          <w:b/>
          <w:bCs/>
        </w:rPr>
      </w:pPr>
      <w:r w:rsidRPr="008256BC">
        <w:rPr>
          <w:b/>
          <w:bCs/>
        </w:rPr>
        <w:t>2.5. Integrated assessment (PSI)</w:t>
      </w:r>
    </w:p>
    <w:p w14:paraId="17F82C98" w14:textId="77777777" w:rsidR="00BB1A53" w:rsidRPr="008256BC" w:rsidRDefault="00BB1A53" w:rsidP="001B1DA2">
      <w:pPr>
        <w:rPr>
          <w:b/>
          <w:bCs/>
        </w:rPr>
      </w:pPr>
    </w:p>
    <w:p w14:paraId="4EF51F2B" w14:textId="77777777" w:rsidR="001B1DA2" w:rsidRPr="008256BC" w:rsidRDefault="001B1DA2" w:rsidP="00565AE6">
      <w:r w:rsidRPr="008256BC">
        <w:t>Spatial (Q95 and area), ecological (PCA1 and niche breadth), and taxonomic (SDI) indicators were standardized using min–max normalization.</w:t>
      </w:r>
    </w:p>
    <w:p w14:paraId="2CB9A697" w14:textId="77777777" w:rsidR="001B1DA2" w:rsidRPr="008256BC" w:rsidRDefault="001B1DA2" w:rsidP="001B1DA2">
      <w:r w:rsidRPr="008256BC">
        <w:t>The components were calculated as follows:</w:t>
      </w:r>
    </w:p>
    <w:p w14:paraId="6938ACE5" w14:textId="77777777" w:rsidR="001B1DA2" w:rsidRPr="008256BC" w:rsidRDefault="001B1DA2" w:rsidP="001B1DA2">
      <w:r w:rsidRPr="008256BC">
        <w:t xml:space="preserve">Min–max normalization: </w:t>
      </w:r>
    </w:p>
    <w:p w14:paraId="3E4DB651" w14:textId="77777777" w:rsidR="001B1DA2" w:rsidRPr="008256BC" w:rsidRDefault="001B1DA2" w:rsidP="001B1DA2">
      <w:pPr>
        <w:jc w:val="center"/>
      </w:pPr>
      <w:r w:rsidRPr="008256BC">
        <w:rPr>
          <w:noProof/>
        </w:rPr>
        <w:drawing>
          <wp:inline distT="0" distB="0" distL="0" distR="0" wp14:anchorId="389293AB" wp14:editId="7E74FF72">
            <wp:extent cx="2000250" cy="63207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1000"/>
                    <a:stretch/>
                  </pic:blipFill>
                  <pic:spPr bwMode="auto">
                    <a:xfrm>
                      <a:off x="0" y="0"/>
                      <a:ext cx="2043296" cy="645681"/>
                    </a:xfrm>
                    <a:prstGeom prst="rect">
                      <a:avLst/>
                    </a:prstGeom>
                    <a:ln>
                      <a:noFill/>
                    </a:ln>
                    <a:extLst>
                      <a:ext uri="{53640926-AAD7-44D8-BBD7-CCE9431645EC}">
                        <a14:shadowObscured xmlns:a14="http://schemas.microsoft.com/office/drawing/2010/main"/>
                      </a:ext>
                    </a:extLst>
                  </pic:spPr>
                </pic:pic>
              </a:graphicData>
            </a:graphic>
          </wp:inline>
        </w:drawing>
      </w:r>
    </w:p>
    <w:p w14:paraId="46581532" w14:textId="77777777" w:rsidR="001B1DA2" w:rsidRPr="008256BC" w:rsidRDefault="001B1DA2" w:rsidP="001B1DA2">
      <w:pPr>
        <w:jc w:val="center"/>
      </w:pPr>
      <w:r w:rsidRPr="008256BC">
        <w:rPr>
          <w:noProof/>
        </w:rPr>
        <w:drawing>
          <wp:inline distT="0" distB="0" distL="0" distR="0" wp14:anchorId="7E227F00" wp14:editId="09712EE0">
            <wp:extent cx="1896025" cy="624205"/>
            <wp:effectExtent l="0" t="0" r="9525"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27717" cy="634639"/>
                    </a:xfrm>
                    <a:prstGeom prst="rect">
                      <a:avLst/>
                    </a:prstGeom>
                  </pic:spPr>
                </pic:pic>
              </a:graphicData>
            </a:graphic>
          </wp:inline>
        </w:drawing>
      </w:r>
      <w:r w:rsidRPr="008256BC">
        <w:t xml:space="preserve"> </w:t>
      </w:r>
    </w:p>
    <w:p w14:paraId="3C31FBDA" w14:textId="77777777" w:rsidR="001B1DA2" w:rsidRPr="008256BC" w:rsidRDefault="001B1DA2" w:rsidP="001B1DA2">
      <w:pPr>
        <w:jc w:val="center"/>
      </w:pPr>
      <w:r w:rsidRPr="008256BC">
        <w:rPr>
          <w:noProof/>
        </w:rPr>
        <w:drawing>
          <wp:inline distT="0" distB="0" distL="0" distR="0" wp14:anchorId="1CBDA9A0" wp14:editId="280252C5">
            <wp:extent cx="2936486" cy="662305"/>
            <wp:effectExtent l="0" t="0" r="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90262" cy="674434"/>
                    </a:xfrm>
                    <a:prstGeom prst="rect">
                      <a:avLst/>
                    </a:prstGeom>
                  </pic:spPr>
                </pic:pic>
              </a:graphicData>
            </a:graphic>
          </wp:inline>
        </w:drawing>
      </w:r>
    </w:p>
    <w:p w14:paraId="6497A81E" w14:textId="77777777" w:rsidR="001B1DA2" w:rsidRPr="008256BC" w:rsidRDefault="001B1DA2" w:rsidP="001B1DA2">
      <w:pPr>
        <w:jc w:val="center"/>
      </w:pPr>
      <w:r w:rsidRPr="008256BC">
        <w:rPr>
          <w:noProof/>
        </w:rPr>
        <w:drawing>
          <wp:inline distT="0" distB="0" distL="0" distR="0" wp14:anchorId="194EB30A" wp14:editId="62F3163F">
            <wp:extent cx="3034518" cy="685074"/>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527"/>
                    <a:stretch/>
                  </pic:blipFill>
                  <pic:spPr bwMode="auto">
                    <a:xfrm>
                      <a:off x="0" y="0"/>
                      <a:ext cx="3185129" cy="719076"/>
                    </a:xfrm>
                    <a:prstGeom prst="rect">
                      <a:avLst/>
                    </a:prstGeom>
                    <a:ln>
                      <a:noFill/>
                    </a:ln>
                    <a:extLst>
                      <a:ext uri="{53640926-AAD7-44D8-BBD7-CCE9431645EC}">
                        <a14:shadowObscured xmlns:a14="http://schemas.microsoft.com/office/drawing/2010/main"/>
                      </a:ext>
                    </a:extLst>
                  </pic:spPr>
                </pic:pic>
              </a:graphicData>
            </a:graphic>
          </wp:inline>
        </w:drawing>
      </w:r>
    </w:p>
    <w:p w14:paraId="29198382" w14:textId="78D06216" w:rsidR="001B1DA2" w:rsidRDefault="001B1DA2" w:rsidP="001B1DA2">
      <w:pPr>
        <w:jc w:val="both"/>
      </w:pPr>
      <w:r w:rsidRPr="008256BC">
        <w:t xml:space="preserve">This approach </w:t>
      </w:r>
      <w:r>
        <w:t>enables a comprehensive,</w:t>
      </w:r>
      <w:r w:rsidRPr="008256BC">
        <w:t xml:space="preserve"> integrated evaluation of the multidimensional dominance of floristic families (</w:t>
      </w:r>
      <w:proofErr w:type="spellStart"/>
      <w:r w:rsidRPr="008256BC">
        <w:rPr>
          <w:highlight w:val="yellow"/>
        </w:rPr>
        <w:t>Mouillot</w:t>
      </w:r>
      <w:proofErr w:type="spellEnd"/>
      <w:r w:rsidRPr="008256BC">
        <w:rPr>
          <w:highlight w:val="yellow"/>
        </w:rPr>
        <w:t xml:space="preserve"> et al., 2013</w:t>
      </w:r>
      <w:r w:rsidRPr="008256BC">
        <w:t>).</w:t>
      </w:r>
    </w:p>
    <w:p w14:paraId="6D4FEDAF" w14:textId="77777777" w:rsidR="00BB1A53" w:rsidRPr="008256BC" w:rsidRDefault="00BB1A53" w:rsidP="001B1DA2">
      <w:pPr>
        <w:jc w:val="both"/>
      </w:pPr>
    </w:p>
    <w:p w14:paraId="52D6C853" w14:textId="047AE323" w:rsidR="001B1DA2" w:rsidRDefault="001B1DA2" w:rsidP="001B1DA2">
      <w:pPr>
        <w:jc w:val="both"/>
        <w:rPr>
          <w:b/>
          <w:bCs/>
        </w:rPr>
      </w:pPr>
      <w:r w:rsidRPr="008256BC">
        <w:rPr>
          <w:b/>
          <w:bCs/>
        </w:rPr>
        <w:t>2.6. Software</w:t>
      </w:r>
    </w:p>
    <w:p w14:paraId="7968660A" w14:textId="77777777" w:rsidR="00BB1A53" w:rsidRPr="008256BC" w:rsidRDefault="00BB1A53" w:rsidP="001B1DA2">
      <w:pPr>
        <w:jc w:val="both"/>
        <w:rPr>
          <w:b/>
          <w:bCs/>
        </w:rPr>
      </w:pPr>
    </w:p>
    <w:p w14:paraId="14CFF78A" w14:textId="5F2657C6" w:rsidR="001B1DA2" w:rsidRDefault="001B1DA2" w:rsidP="00565AE6">
      <w:pPr>
        <w:jc w:val="both"/>
      </w:pPr>
      <w:r w:rsidRPr="008256BC">
        <w:t>All analyses were conducted in the R statistical computing environment (R Core Team, 2024). Spatial analyses were performed using the sf and terra packages, statistical analyses with vegan, and data visualization with ggplot2.</w:t>
      </w:r>
    </w:p>
    <w:p w14:paraId="5D0237EC" w14:textId="77777777" w:rsidR="00BB1A53" w:rsidRPr="008256BC" w:rsidRDefault="00BB1A53" w:rsidP="001B1DA2">
      <w:pPr>
        <w:ind w:firstLine="708"/>
        <w:jc w:val="both"/>
      </w:pPr>
    </w:p>
    <w:p w14:paraId="09582561" w14:textId="0D905C37" w:rsidR="001B1DA2" w:rsidRDefault="001B1DA2" w:rsidP="001B1DA2">
      <w:pPr>
        <w:jc w:val="both"/>
        <w:rPr>
          <w:b/>
          <w:bCs/>
        </w:rPr>
      </w:pPr>
      <w:r w:rsidRPr="008256BC">
        <w:rPr>
          <w:b/>
          <w:bCs/>
        </w:rPr>
        <w:t xml:space="preserve">3. </w:t>
      </w:r>
      <w:r w:rsidR="006D1796" w:rsidRPr="006D1796">
        <w:rPr>
          <w:b/>
          <w:bCs/>
          <w:sz w:val="28"/>
        </w:rPr>
        <w:t>RESULTS</w:t>
      </w:r>
    </w:p>
    <w:p w14:paraId="7DAA781B" w14:textId="77777777" w:rsidR="00BB1A53" w:rsidRPr="008256BC" w:rsidRDefault="00BB1A53" w:rsidP="001B1DA2">
      <w:pPr>
        <w:jc w:val="both"/>
        <w:rPr>
          <w:b/>
          <w:bCs/>
        </w:rPr>
      </w:pPr>
    </w:p>
    <w:p w14:paraId="159EAF37" w14:textId="71078BC6" w:rsidR="001B1DA2" w:rsidRDefault="001B1DA2" w:rsidP="001B1DA2">
      <w:pPr>
        <w:jc w:val="both"/>
        <w:rPr>
          <w:b/>
          <w:bCs/>
        </w:rPr>
      </w:pPr>
      <w:r w:rsidRPr="008256BC">
        <w:rPr>
          <w:b/>
          <w:bCs/>
        </w:rPr>
        <w:t>3.1. Spatial dominance: Kernel Density Estimation (KDE)</w:t>
      </w:r>
    </w:p>
    <w:p w14:paraId="498A2CB5" w14:textId="77777777" w:rsidR="00BB1A53" w:rsidRPr="008256BC" w:rsidRDefault="00BB1A53" w:rsidP="001B1DA2">
      <w:pPr>
        <w:jc w:val="both"/>
        <w:rPr>
          <w:b/>
          <w:bCs/>
        </w:rPr>
      </w:pPr>
    </w:p>
    <w:p w14:paraId="03B49492" w14:textId="06D0CA33" w:rsidR="001B1DA2" w:rsidRPr="008256BC" w:rsidRDefault="001B1DA2" w:rsidP="00565AE6">
      <w:pPr>
        <w:jc w:val="both"/>
      </w:pPr>
      <w:r w:rsidRPr="008256BC">
        <w:t xml:space="preserve">Kernel Density Estimation (KDE) analysis revealed substantial variation in the spatial </w:t>
      </w:r>
      <w:r>
        <w:t xml:space="preserve">intensity of plant family distributions across the flora of </w:t>
      </w:r>
      <w:proofErr w:type="spellStart"/>
      <w:r>
        <w:t>Surkhandarya</w:t>
      </w:r>
      <w:proofErr w:type="spellEnd"/>
      <w:r>
        <w:t xml:space="preserve"> Province (Fig. 1). Some </w:t>
      </w:r>
      <w:r>
        <w:lastRenderedPageBreak/>
        <w:t>families formed distinct high-density hotspots in specific parts of the region, whereas others exhibited more dispersed, low-intensity distributions</w:t>
      </w:r>
      <w:r w:rsidRPr="008256BC">
        <w:t>. To quantify spatial intensity, the 95th percentile of KDE values (Q95) was used as the primary indicator, as it provide</w:t>
      </w:r>
      <w:r w:rsidR="004C6516">
        <w:t>d</w:t>
      </w:r>
      <w:r w:rsidRPr="008256BC">
        <w:t xml:space="preserve"> a robust measure of high-density areas while minimizing sensitivity to extreme values.</w:t>
      </w:r>
    </w:p>
    <w:p w14:paraId="41B4525F" w14:textId="77777777" w:rsidR="001B1DA2" w:rsidRPr="008256BC" w:rsidRDefault="001B1DA2" w:rsidP="001B1DA2">
      <w:pPr>
        <w:ind w:firstLine="708"/>
        <w:jc w:val="both"/>
      </w:pPr>
      <w:r w:rsidRPr="008256BC">
        <w:t xml:space="preserve">According to Q95 values, the highest spatial intensity was recorded for </w:t>
      </w:r>
      <w:proofErr w:type="spellStart"/>
      <w:r w:rsidRPr="008256BC">
        <w:t>Fabaceae</w:t>
      </w:r>
      <w:proofErr w:type="spellEnd"/>
      <w:r w:rsidRPr="008256BC">
        <w:t xml:space="preserve"> (2.91 × 10⁻⁷). This was followed by </w:t>
      </w:r>
      <w:proofErr w:type="spellStart"/>
      <w:r w:rsidRPr="008256BC">
        <w:t>Asteraceae</w:t>
      </w:r>
      <w:proofErr w:type="spellEnd"/>
      <w:r w:rsidRPr="008256BC">
        <w:t xml:space="preserve"> (2.36 × 10⁻⁷), </w:t>
      </w:r>
      <w:proofErr w:type="spellStart"/>
      <w:r w:rsidRPr="008256BC">
        <w:t>Lamiaceae</w:t>
      </w:r>
      <w:proofErr w:type="spellEnd"/>
      <w:r w:rsidRPr="008256BC">
        <w:t xml:space="preserve"> (2.19 × 10⁻⁷), and </w:t>
      </w:r>
      <w:proofErr w:type="spellStart"/>
      <w:r w:rsidRPr="008256BC">
        <w:t>Poaceae</w:t>
      </w:r>
      <w:proofErr w:type="spellEnd"/>
      <w:r w:rsidRPr="008256BC">
        <w:t xml:space="preserve"> (1.98 × 10⁻⁷), all of which exhibited relatively high local concentration. Intermediate values </w:t>
      </w:r>
      <w:r w:rsidRPr="008256BC">
        <w:lastRenderedPageBreak/>
        <w:t xml:space="preserve">were observed for </w:t>
      </w:r>
      <w:proofErr w:type="spellStart"/>
      <w:r w:rsidRPr="008256BC">
        <w:t>Brassicaceae</w:t>
      </w:r>
      <w:proofErr w:type="spellEnd"/>
      <w:r w:rsidRPr="008256BC">
        <w:t xml:space="preserve"> (1.81 × 10⁻⁷) and </w:t>
      </w:r>
      <w:proofErr w:type="spellStart"/>
      <w:r w:rsidRPr="008256BC">
        <w:t>Apiaceae</w:t>
      </w:r>
      <w:proofErr w:type="spellEnd"/>
      <w:r w:rsidRPr="008256BC">
        <w:t xml:space="preserve"> (1.73 × 10⁻⁷). Lower spatial intensity was found in </w:t>
      </w:r>
      <w:proofErr w:type="spellStart"/>
      <w:r w:rsidRPr="008256BC">
        <w:t>Boraginaceae</w:t>
      </w:r>
      <w:proofErr w:type="spellEnd"/>
      <w:r w:rsidRPr="008256BC">
        <w:t xml:space="preserve"> (1.51 × 10⁻⁷), </w:t>
      </w:r>
      <w:proofErr w:type="spellStart"/>
      <w:r w:rsidRPr="008256BC">
        <w:t>Liliaceae</w:t>
      </w:r>
      <w:proofErr w:type="spellEnd"/>
      <w:r w:rsidRPr="008256BC">
        <w:t xml:space="preserve"> (1.32 × 10⁻⁷), and </w:t>
      </w:r>
      <w:proofErr w:type="spellStart"/>
      <w:r w:rsidRPr="008256BC">
        <w:t>Amaranthaceae</w:t>
      </w:r>
      <w:proofErr w:type="spellEnd"/>
      <w:r w:rsidRPr="008256BC">
        <w:t xml:space="preserve"> (1.29 × 10⁻⁷), while the lowest value was recorded for </w:t>
      </w:r>
      <w:proofErr w:type="spellStart"/>
      <w:r w:rsidRPr="008256BC">
        <w:t>Ranunculaceae</w:t>
      </w:r>
      <w:proofErr w:type="spellEnd"/>
      <w:r w:rsidRPr="008256BC">
        <w:t xml:space="preserve"> (1.18 × 10⁻⁷).</w:t>
      </w:r>
    </w:p>
    <w:p w14:paraId="3DC8DC3B" w14:textId="12E9B8A8" w:rsidR="001B1DA2" w:rsidRPr="008256BC" w:rsidRDefault="001B1DA2" w:rsidP="00A51C3C">
      <w:pPr>
        <w:spacing w:after="120"/>
        <w:ind w:firstLine="708"/>
        <w:jc w:val="both"/>
        <w:rPr>
          <w:noProof/>
        </w:rPr>
      </w:pPr>
      <w:r w:rsidRPr="008256BC">
        <w:t xml:space="preserve">These </w:t>
      </w:r>
      <w:r w:rsidR="004C6516">
        <w:t>findings</w:t>
      </w:r>
      <w:r w:rsidR="004C6516" w:rsidRPr="008256BC">
        <w:t xml:space="preserve"> </w:t>
      </w:r>
      <w:r w:rsidRPr="008256BC">
        <w:t xml:space="preserve">indicate that spatial dominance is not uniform across families. Some groups act as locally dominant elements with pronounced concentration zones, whereas others follow a broader but lower-intensity distribution strategy. This spatial differentiation </w:t>
      </w:r>
      <w:r>
        <w:t>is a key component of the</w:t>
      </w:r>
      <w:r w:rsidRPr="008256BC">
        <w:t xml:space="preserve"> subsequent integrative assessment.</w:t>
      </w:r>
    </w:p>
    <w:p w14:paraId="0B333AC1" w14:textId="77777777" w:rsidR="001B1DA2" w:rsidRDefault="001B1DA2" w:rsidP="001B1DA2">
      <w:pPr>
        <w:jc w:val="both"/>
        <w:sectPr w:rsidR="001B1DA2" w:rsidSect="00C7702F">
          <w:type w:val="continuous"/>
          <w:pgSz w:w="12240" w:h="15840"/>
          <w:pgMar w:top="1134" w:right="1134" w:bottom="1134" w:left="1134" w:header="426" w:footer="720" w:gutter="0"/>
          <w:cols w:num="2" w:space="720"/>
          <w:titlePg/>
          <w:docGrid w:linePitch="360"/>
        </w:sectPr>
      </w:pPr>
    </w:p>
    <w:p w14:paraId="5DB5957B" w14:textId="14F4B793" w:rsidR="001B1DA2" w:rsidRPr="008256BC" w:rsidRDefault="001B1DA2" w:rsidP="001B1DA2">
      <w:pPr>
        <w:jc w:val="center"/>
      </w:pPr>
      <w:r w:rsidRPr="008256BC">
        <w:rPr>
          <w:noProof/>
        </w:rPr>
        <w:lastRenderedPageBreak/>
        <w:drawing>
          <wp:inline distT="0" distB="0" distL="0" distR="0" wp14:anchorId="122A256C" wp14:editId="75EA610B">
            <wp:extent cx="5937885" cy="4432300"/>
            <wp:effectExtent l="0" t="0" r="5715"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7885" cy="4432300"/>
                    </a:xfrm>
                    <a:prstGeom prst="rect">
                      <a:avLst/>
                    </a:prstGeom>
                    <a:noFill/>
                  </pic:spPr>
                </pic:pic>
              </a:graphicData>
            </a:graphic>
          </wp:inline>
        </w:drawing>
      </w:r>
    </w:p>
    <w:p w14:paraId="1A34658E" w14:textId="14E3AFAF" w:rsidR="001B1DA2" w:rsidRDefault="001B1DA2" w:rsidP="001B1DA2">
      <w:pPr>
        <w:jc w:val="center"/>
      </w:pPr>
      <w:r w:rsidRPr="00565AE6">
        <w:rPr>
          <w:b/>
        </w:rPr>
        <w:t>Fig. 1.</w:t>
      </w:r>
      <w:r w:rsidRPr="008256BC">
        <w:t xml:space="preserve"> Spatial distribution density of floristic families in </w:t>
      </w:r>
      <w:proofErr w:type="spellStart"/>
      <w:r w:rsidRPr="008256BC">
        <w:t>Surkhandarya</w:t>
      </w:r>
      <w:proofErr w:type="spellEnd"/>
      <w:r w:rsidRPr="008256BC">
        <w:t xml:space="preserve"> Province based on Kernel Density Estimation (KDE).</w:t>
      </w:r>
    </w:p>
    <w:p w14:paraId="7DD79AF2" w14:textId="77777777" w:rsidR="001B1DA2" w:rsidRPr="008256BC" w:rsidRDefault="001B1DA2" w:rsidP="001B1DA2">
      <w:pPr>
        <w:jc w:val="center"/>
      </w:pPr>
    </w:p>
    <w:p w14:paraId="0790DA6E" w14:textId="77777777" w:rsidR="001B1DA2" w:rsidRDefault="001B1DA2" w:rsidP="001B1DA2">
      <w:pPr>
        <w:jc w:val="both"/>
        <w:rPr>
          <w:b/>
          <w:bCs/>
        </w:rPr>
        <w:sectPr w:rsidR="001B1DA2" w:rsidSect="001B1DA2">
          <w:type w:val="continuous"/>
          <w:pgSz w:w="12240" w:h="15840"/>
          <w:pgMar w:top="1134" w:right="1134" w:bottom="1134" w:left="1134" w:header="426" w:footer="720" w:gutter="0"/>
          <w:cols w:space="720"/>
          <w:titlePg/>
          <w:docGrid w:linePitch="360"/>
        </w:sectPr>
      </w:pPr>
    </w:p>
    <w:p w14:paraId="6728B234" w14:textId="321234EB" w:rsidR="001B1DA2" w:rsidRDefault="001B1DA2" w:rsidP="001B1DA2">
      <w:pPr>
        <w:jc w:val="both"/>
        <w:rPr>
          <w:b/>
          <w:bCs/>
        </w:rPr>
      </w:pPr>
      <w:r w:rsidRPr="008256BC">
        <w:rPr>
          <w:b/>
          <w:bCs/>
        </w:rPr>
        <w:lastRenderedPageBreak/>
        <w:t>3.2. Spatial dominance: geographic range size (convex hull approach)</w:t>
      </w:r>
    </w:p>
    <w:p w14:paraId="7F84F73B" w14:textId="77777777" w:rsidR="00BB1A53" w:rsidRPr="008256BC" w:rsidRDefault="00BB1A53" w:rsidP="001B1DA2">
      <w:pPr>
        <w:jc w:val="both"/>
        <w:rPr>
          <w:b/>
          <w:bCs/>
        </w:rPr>
      </w:pPr>
    </w:p>
    <w:p w14:paraId="1F4968E2" w14:textId="2B5DCC5D" w:rsidR="001B1DA2" w:rsidRPr="008256BC" w:rsidRDefault="001B1DA2" w:rsidP="00565AE6">
      <w:pPr>
        <w:jc w:val="both"/>
      </w:pPr>
      <w:r w:rsidRPr="008256BC">
        <w:t xml:space="preserve">The geographic range of floristic families was quantitatively assessed using a </w:t>
      </w:r>
      <w:r>
        <w:t>Delaunay-based triangulation–threshold approach</w:t>
      </w:r>
      <w:r w:rsidRPr="008256BC">
        <w:t xml:space="preserve">. The results </w:t>
      </w:r>
      <w:r w:rsidRPr="008256BC">
        <w:lastRenderedPageBreak/>
        <w:t xml:space="preserve">revealed substantial variation in distribution area among families (Fig. 2). The largest range was recorded for </w:t>
      </w:r>
      <w:proofErr w:type="spellStart"/>
      <w:r w:rsidRPr="008256BC">
        <w:t>Fabaceae</w:t>
      </w:r>
      <w:proofErr w:type="spellEnd"/>
      <w:r w:rsidRPr="008256BC">
        <w:t xml:space="preserve"> (15,139.2 km²), followed by </w:t>
      </w:r>
      <w:proofErr w:type="spellStart"/>
      <w:r w:rsidRPr="008256BC">
        <w:t>Asteraceae</w:t>
      </w:r>
      <w:proofErr w:type="spellEnd"/>
      <w:r w:rsidRPr="008256BC">
        <w:t xml:space="preserve"> (13,471.2 km²) and </w:t>
      </w:r>
      <w:proofErr w:type="spellStart"/>
      <w:r w:rsidRPr="008256BC">
        <w:t>Poaceae</w:t>
      </w:r>
      <w:proofErr w:type="spellEnd"/>
      <w:r w:rsidRPr="008256BC">
        <w:t xml:space="preserve"> (12,512.3 km²). </w:t>
      </w:r>
      <w:proofErr w:type="spellStart"/>
      <w:r w:rsidRPr="008256BC">
        <w:t>Brassicaceae</w:t>
      </w:r>
      <w:proofErr w:type="spellEnd"/>
      <w:r w:rsidRPr="008256BC">
        <w:t xml:space="preserve"> (12,424.1 km²) and </w:t>
      </w:r>
      <w:proofErr w:type="spellStart"/>
      <w:r w:rsidRPr="008256BC">
        <w:t>Lamiaceae</w:t>
      </w:r>
      <w:proofErr w:type="spellEnd"/>
      <w:r w:rsidRPr="008256BC">
        <w:t xml:space="preserve"> (11,316.2 km²) also exhibited </w:t>
      </w:r>
      <w:r w:rsidRPr="008256BC">
        <w:lastRenderedPageBreak/>
        <w:t xml:space="preserve">extensive geographic coverage. Intermediate range sizes were observed for </w:t>
      </w:r>
      <w:proofErr w:type="spellStart"/>
      <w:r w:rsidRPr="008256BC">
        <w:t>Apiaceae</w:t>
      </w:r>
      <w:proofErr w:type="spellEnd"/>
      <w:r w:rsidRPr="008256BC">
        <w:t xml:space="preserve"> (9,503.1 km²), </w:t>
      </w:r>
      <w:proofErr w:type="spellStart"/>
      <w:r w:rsidRPr="008256BC">
        <w:t>Amaranthaceae</w:t>
      </w:r>
      <w:proofErr w:type="spellEnd"/>
      <w:r w:rsidRPr="008256BC">
        <w:t xml:space="preserve"> (9,408.8 km²), and </w:t>
      </w:r>
      <w:proofErr w:type="spellStart"/>
      <w:r w:rsidRPr="008256BC">
        <w:t>Boraginaceae</w:t>
      </w:r>
      <w:proofErr w:type="spellEnd"/>
      <w:r w:rsidRPr="008256BC">
        <w:t xml:space="preserve"> (9,268.5 km²). The smallest ranges were in </w:t>
      </w:r>
      <w:r w:rsidR="004C6516">
        <w:t xml:space="preserve">the </w:t>
      </w:r>
      <w:r w:rsidRPr="008256BC">
        <w:t xml:space="preserve">Plantaginaceae (8,397.2 km²) and </w:t>
      </w:r>
      <w:proofErr w:type="spellStart"/>
      <w:r w:rsidRPr="008256BC">
        <w:t>Ranunculaceae</w:t>
      </w:r>
      <w:proofErr w:type="spellEnd"/>
      <w:r w:rsidRPr="008256BC">
        <w:t xml:space="preserve"> (7,267.6 km²). </w:t>
      </w:r>
    </w:p>
    <w:p w14:paraId="5E496078" w14:textId="77777777" w:rsidR="001B1DA2" w:rsidRPr="008256BC" w:rsidRDefault="001B1DA2" w:rsidP="00A51C3C">
      <w:pPr>
        <w:ind w:firstLine="708"/>
        <w:jc w:val="both"/>
      </w:pPr>
      <w:r w:rsidRPr="008256BC">
        <w:t xml:space="preserve">The triangulation–threshold approach reduced the overestimation of range size by removing long-distance connections between </w:t>
      </w:r>
      <w:r w:rsidRPr="008256BC">
        <w:lastRenderedPageBreak/>
        <w:t xml:space="preserve">occurrence points. The selected threshold of 10,000 m </w:t>
      </w:r>
      <w:r>
        <w:t>yielded stable results, as confirmed by a sensitivity analysis across</w:t>
      </w:r>
      <w:r w:rsidRPr="008256BC">
        <w:t xml:space="preserve"> the 8,000–12,000 m range.</w:t>
      </w:r>
    </w:p>
    <w:p w14:paraId="4006C88A" w14:textId="77777777" w:rsidR="001B1DA2" w:rsidRPr="008256BC" w:rsidRDefault="001B1DA2" w:rsidP="00A51C3C">
      <w:pPr>
        <w:spacing w:after="360"/>
        <w:jc w:val="both"/>
        <w:rPr>
          <w:noProof/>
        </w:rPr>
      </w:pPr>
      <w:r w:rsidRPr="008256BC">
        <w:t xml:space="preserve">Overall, the results indicate that spatial dominance is strongly linked to geographic range size, </w:t>
      </w:r>
      <w:r>
        <w:t>a key component of</w:t>
      </w:r>
      <w:r w:rsidRPr="008256BC">
        <w:t xml:space="preserve"> the subsequent integrative assessment.</w:t>
      </w:r>
    </w:p>
    <w:p w14:paraId="65249139" w14:textId="77777777" w:rsidR="001B1DA2" w:rsidRDefault="001B1DA2" w:rsidP="001B1DA2">
      <w:pPr>
        <w:jc w:val="both"/>
        <w:sectPr w:rsidR="001B1DA2" w:rsidSect="00C7702F">
          <w:type w:val="continuous"/>
          <w:pgSz w:w="12240" w:h="15840"/>
          <w:pgMar w:top="1134" w:right="1134" w:bottom="1134" w:left="1134" w:header="426" w:footer="720" w:gutter="0"/>
          <w:cols w:num="2" w:space="720"/>
          <w:titlePg/>
          <w:docGrid w:linePitch="360"/>
        </w:sectPr>
      </w:pPr>
    </w:p>
    <w:p w14:paraId="5F483404" w14:textId="3041BE0C" w:rsidR="001B1DA2" w:rsidRPr="008256BC" w:rsidRDefault="001B1DA2" w:rsidP="001B1DA2">
      <w:pPr>
        <w:jc w:val="center"/>
      </w:pPr>
      <w:r w:rsidRPr="008256BC">
        <w:rPr>
          <w:noProof/>
        </w:rPr>
        <w:lastRenderedPageBreak/>
        <w:drawing>
          <wp:inline distT="0" distB="0" distL="0" distR="0" wp14:anchorId="3B99E7C5" wp14:editId="78A621C1">
            <wp:extent cx="4833631" cy="6441743"/>
            <wp:effectExtent l="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93704" cy="6521802"/>
                    </a:xfrm>
                    <a:prstGeom prst="rect">
                      <a:avLst/>
                    </a:prstGeom>
                    <a:noFill/>
                  </pic:spPr>
                </pic:pic>
              </a:graphicData>
            </a:graphic>
          </wp:inline>
        </w:drawing>
      </w:r>
    </w:p>
    <w:p w14:paraId="70006E25" w14:textId="4875E2A0" w:rsidR="001B1DA2" w:rsidRPr="008256BC" w:rsidRDefault="001B1DA2" w:rsidP="00565AE6">
      <w:pPr>
        <w:jc w:val="center"/>
        <w:rPr>
          <w:b/>
          <w:bCs/>
        </w:rPr>
      </w:pPr>
      <w:r w:rsidRPr="00565AE6">
        <w:rPr>
          <w:b/>
        </w:rPr>
        <w:t>Fig. 2.</w:t>
      </w:r>
      <w:r w:rsidRPr="008256BC">
        <w:t xml:space="preserve"> Ranking of the </w:t>
      </w:r>
      <w:r w:rsidR="004C6516">
        <w:t xml:space="preserve">floras of </w:t>
      </w:r>
      <w:r w:rsidRPr="008256BC">
        <w:t>ten families with the largest geographic ranges based on the convex hull approach.</w:t>
      </w:r>
    </w:p>
    <w:p w14:paraId="38C97F47" w14:textId="77777777" w:rsidR="001B1DA2" w:rsidRDefault="001B1DA2" w:rsidP="001B1DA2">
      <w:pPr>
        <w:jc w:val="both"/>
        <w:rPr>
          <w:b/>
          <w:bCs/>
        </w:rPr>
        <w:sectPr w:rsidR="001B1DA2" w:rsidSect="001B1DA2">
          <w:type w:val="continuous"/>
          <w:pgSz w:w="12240" w:h="15840"/>
          <w:pgMar w:top="1134" w:right="1134" w:bottom="1134" w:left="1134" w:header="426" w:footer="720" w:gutter="0"/>
          <w:cols w:space="720"/>
          <w:titlePg/>
          <w:docGrid w:linePitch="360"/>
        </w:sectPr>
      </w:pPr>
    </w:p>
    <w:p w14:paraId="5B8E6279" w14:textId="753DB890" w:rsidR="001B1DA2" w:rsidRDefault="001B1DA2" w:rsidP="001B1DA2">
      <w:pPr>
        <w:jc w:val="both"/>
        <w:rPr>
          <w:b/>
          <w:bCs/>
        </w:rPr>
      </w:pPr>
      <w:r w:rsidRPr="008256BC">
        <w:rPr>
          <w:b/>
          <w:bCs/>
        </w:rPr>
        <w:lastRenderedPageBreak/>
        <w:t>3.3. Ecological dominance: PCA and niche breadth</w:t>
      </w:r>
    </w:p>
    <w:p w14:paraId="5BDE5BBB" w14:textId="77777777" w:rsidR="00BB1A53" w:rsidRPr="008256BC" w:rsidRDefault="00BB1A53" w:rsidP="001B1DA2">
      <w:pPr>
        <w:jc w:val="both"/>
        <w:rPr>
          <w:b/>
          <w:bCs/>
        </w:rPr>
      </w:pPr>
    </w:p>
    <w:p w14:paraId="2A894A0C" w14:textId="77777777" w:rsidR="001B1DA2" w:rsidRDefault="001B1DA2" w:rsidP="00A51C3C">
      <w:pPr>
        <w:spacing w:after="120"/>
        <w:jc w:val="both"/>
        <w:sectPr w:rsidR="001B1DA2" w:rsidSect="00C7702F">
          <w:type w:val="continuous"/>
          <w:pgSz w:w="12240" w:h="15840"/>
          <w:pgMar w:top="1134" w:right="1134" w:bottom="1134" w:left="1134" w:header="426" w:footer="720" w:gutter="0"/>
          <w:cols w:num="2" w:space="720"/>
          <w:titlePg/>
          <w:docGrid w:linePitch="360"/>
        </w:sectPr>
      </w:pPr>
      <w:r w:rsidRPr="008256BC">
        <w:t xml:space="preserve">Principal Component Analysis (PCA) showed that the majority of environmental variation was captured by the first component. PC1 explained 83.4% of the total variance and primarily represented a gradient associated with bioclimatic variables, whereas PC2 accounted for 9.8% of the variance, reflecting secondary </w:t>
      </w:r>
      <w:r w:rsidRPr="008256BC">
        <w:lastRenderedPageBreak/>
        <w:t>environmental differentiation (Fig. 3). Variable loadings indicated that bioclimatic factors were the main drivers along PC1, while soil cation exchange capacity (CEC) contributed strongly to PC2, representing an independent edaphic gradient. The distribution of points in PCA space revealed a wide range of environmental conditions, indicating that species within different families are adapted to diverse ecological settings.</w:t>
      </w:r>
    </w:p>
    <w:p w14:paraId="00649E7E" w14:textId="4C45BDA5" w:rsidR="001B1DA2" w:rsidRPr="008256BC" w:rsidRDefault="001B1DA2" w:rsidP="001B1DA2">
      <w:pPr>
        <w:jc w:val="center"/>
      </w:pPr>
      <w:r w:rsidRPr="008256BC">
        <w:rPr>
          <w:noProof/>
        </w:rPr>
        <w:lastRenderedPageBreak/>
        <w:drawing>
          <wp:inline distT="0" distB="0" distL="0" distR="0" wp14:anchorId="0738D240" wp14:editId="29E69FF7">
            <wp:extent cx="5937885" cy="4456430"/>
            <wp:effectExtent l="0" t="0" r="5715"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7885" cy="4456430"/>
                    </a:xfrm>
                    <a:prstGeom prst="rect">
                      <a:avLst/>
                    </a:prstGeom>
                    <a:noFill/>
                  </pic:spPr>
                </pic:pic>
              </a:graphicData>
            </a:graphic>
          </wp:inline>
        </w:drawing>
      </w:r>
    </w:p>
    <w:p w14:paraId="2F20F5C8" w14:textId="192B4BF9" w:rsidR="001B1DA2" w:rsidRDefault="001B1DA2" w:rsidP="001B1DA2">
      <w:pPr>
        <w:ind w:firstLine="708"/>
        <w:jc w:val="center"/>
      </w:pPr>
      <w:r w:rsidRPr="00565AE6">
        <w:rPr>
          <w:b/>
        </w:rPr>
        <w:t>Fig. 3.</w:t>
      </w:r>
      <w:r w:rsidRPr="008256BC">
        <w:t xml:space="preserve"> PCA </w:t>
      </w:r>
      <w:proofErr w:type="spellStart"/>
      <w:r w:rsidRPr="008256BC">
        <w:t>biplot</w:t>
      </w:r>
      <w:proofErr w:type="spellEnd"/>
      <w:r w:rsidRPr="008256BC">
        <w:t xml:space="preserve"> showing the distribution of species along the first two principal components (PC1 and PC2) based on environmental variables.</w:t>
      </w:r>
    </w:p>
    <w:p w14:paraId="2D0E4BED" w14:textId="77777777" w:rsidR="00BB1A53" w:rsidRPr="008256BC" w:rsidRDefault="00BB1A53" w:rsidP="001B1DA2">
      <w:pPr>
        <w:ind w:firstLine="708"/>
        <w:jc w:val="center"/>
      </w:pPr>
    </w:p>
    <w:p w14:paraId="10CE9CDA" w14:textId="77777777" w:rsidR="001B1DA2" w:rsidRDefault="001B1DA2" w:rsidP="001B1DA2">
      <w:pPr>
        <w:ind w:firstLine="708"/>
        <w:jc w:val="both"/>
        <w:sectPr w:rsidR="001B1DA2" w:rsidSect="001B1DA2">
          <w:type w:val="continuous"/>
          <w:pgSz w:w="12240" w:h="15840"/>
          <w:pgMar w:top="1134" w:right="1134" w:bottom="1134" w:left="1134" w:header="426" w:footer="720" w:gutter="0"/>
          <w:cols w:space="720"/>
          <w:titlePg/>
          <w:docGrid w:linePitch="360"/>
        </w:sectPr>
      </w:pPr>
    </w:p>
    <w:p w14:paraId="1E81C15E" w14:textId="6FEA7670" w:rsidR="001B1DA2" w:rsidRPr="008256BC" w:rsidRDefault="001B1DA2" w:rsidP="00A51C3C">
      <w:pPr>
        <w:spacing w:after="120"/>
        <w:ind w:firstLine="708"/>
        <w:jc w:val="both"/>
      </w:pPr>
      <w:r w:rsidRPr="008256BC">
        <w:lastRenderedPageBreak/>
        <w:t xml:space="preserve">According to the niche breadth analysis, the highest ecological breadth values were recorded for </w:t>
      </w:r>
      <w:proofErr w:type="spellStart"/>
      <w:r w:rsidRPr="008256BC">
        <w:t>Plumbaginaceae</w:t>
      </w:r>
      <w:proofErr w:type="spellEnd"/>
      <w:r w:rsidRPr="008256BC">
        <w:t xml:space="preserve"> (136.86), </w:t>
      </w:r>
      <w:proofErr w:type="spellStart"/>
      <w:r w:rsidRPr="008256BC">
        <w:t>Thymelaeaceae</w:t>
      </w:r>
      <w:proofErr w:type="spellEnd"/>
      <w:r w:rsidRPr="008256BC">
        <w:t xml:space="preserve"> (132.41), </w:t>
      </w:r>
      <w:proofErr w:type="spellStart"/>
      <w:r w:rsidRPr="008256BC">
        <w:t>Convolvulaceae</w:t>
      </w:r>
      <w:proofErr w:type="spellEnd"/>
      <w:r w:rsidRPr="008256BC">
        <w:t xml:space="preserve"> (125.39), and </w:t>
      </w:r>
      <w:proofErr w:type="spellStart"/>
      <w:r w:rsidRPr="008256BC">
        <w:t>Polygonaceae</w:t>
      </w:r>
      <w:proofErr w:type="spellEnd"/>
      <w:r w:rsidRPr="008256BC">
        <w:t xml:space="preserve"> (122.78). High values were also observed for </w:t>
      </w:r>
      <w:proofErr w:type="spellStart"/>
      <w:r w:rsidRPr="008256BC">
        <w:t>Gentianaceae</w:t>
      </w:r>
      <w:proofErr w:type="spellEnd"/>
      <w:r w:rsidRPr="008256BC">
        <w:t xml:space="preserve"> (119.50) and </w:t>
      </w:r>
      <w:proofErr w:type="spellStart"/>
      <w:r w:rsidRPr="008256BC">
        <w:t>Orchidaceae</w:t>
      </w:r>
      <w:proofErr w:type="spellEnd"/>
      <w:r w:rsidRPr="008256BC">
        <w:t xml:space="preserve"> (114.74). </w:t>
      </w:r>
      <w:r w:rsidRPr="008256BC">
        <w:lastRenderedPageBreak/>
        <w:t xml:space="preserve">Intermediate ecological breadth was found in </w:t>
      </w:r>
      <w:proofErr w:type="spellStart"/>
      <w:r w:rsidRPr="008256BC">
        <w:t>Euphorbiaceae</w:t>
      </w:r>
      <w:proofErr w:type="spellEnd"/>
      <w:r w:rsidRPr="008256BC">
        <w:t xml:space="preserve"> (113.40), </w:t>
      </w:r>
      <w:proofErr w:type="spellStart"/>
      <w:r w:rsidRPr="008256BC">
        <w:t>Poaceae</w:t>
      </w:r>
      <w:proofErr w:type="spellEnd"/>
      <w:r w:rsidRPr="008256BC">
        <w:t xml:space="preserve"> (107.49), </w:t>
      </w:r>
      <w:proofErr w:type="spellStart"/>
      <w:r w:rsidRPr="008256BC">
        <w:t>Juncaceae</w:t>
      </w:r>
      <w:proofErr w:type="spellEnd"/>
      <w:r w:rsidRPr="008256BC">
        <w:t xml:space="preserve"> (104.82), and </w:t>
      </w:r>
      <w:proofErr w:type="spellStart"/>
      <w:r w:rsidRPr="008256BC">
        <w:t>Scrophulariaceae</w:t>
      </w:r>
      <w:proofErr w:type="spellEnd"/>
      <w:r w:rsidRPr="008256BC">
        <w:t xml:space="preserve"> (102.69) (Fig. 4). The results indicate that ecological breadth does not directly correspond to taxonomic richness. For example, </w:t>
      </w:r>
      <w:proofErr w:type="spellStart"/>
      <w:r w:rsidRPr="008256BC">
        <w:t>Asteraceae</w:t>
      </w:r>
      <w:proofErr w:type="spellEnd"/>
      <w:r w:rsidRPr="008256BC">
        <w:t xml:space="preserve">, </w:t>
      </w:r>
      <w:proofErr w:type="spellStart"/>
      <w:r w:rsidRPr="008256BC">
        <w:t>Fabaceae</w:t>
      </w:r>
      <w:proofErr w:type="spellEnd"/>
      <w:r w:rsidRPr="008256BC">
        <w:t xml:space="preserve">, and </w:t>
      </w:r>
      <w:proofErr w:type="spellStart"/>
      <w:r w:rsidRPr="008256BC">
        <w:t>Brassicaceae</w:t>
      </w:r>
      <w:proofErr w:type="spellEnd"/>
      <w:r w:rsidRPr="008256BC">
        <w:t xml:space="preserve">, despite their high </w:t>
      </w:r>
      <w:r w:rsidRPr="008256BC">
        <w:lastRenderedPageBreak/>
        <w:t xml:space="preserve">taxonomic diversity, did not rank among the leading families in terms of niche breadth. In contrast, some families with lower species richness exhibited higher ecological breadth. This discrepancy suggests that ecological </w:t>
      </w:r>
      <w:r w:rsidRPr="008256BC">
        <w:lastRenderedPageBreak/>
        <w:t xml:space="preserve">adaptability and taxonomic diversification reflect different underlying processes. Therefore, </w:t>
      </w:r>
      <w:r>
        <w:t>the combined use of PCA and niche-breadth</w:t>
      </w:r>
      <w:r w:rsidRPr="008256BC">
        <w:t xml:space="preserve"> metrics is essential for a comprehensive assessment of ecological dominance.</w:t>
      </w:r>
    </w:p>
    <w:p w14:paraId="7352A488" w14:textId="77777777" w:rsidR="001B1DA2" w:rsidRDefault="001B1DA2" w:rsidP="001B1DA2">
      <w:pPr>
        <w:sectPr w:rsidR="001B1DA2" w:rsidSect="00C7702F">
          <w:type w:val="continuous"/>
          <w:pgSz w:w="12240" w:h="15840"/>
          <w:pgMar w:top="1134" w:right="1134" w:bottom="1134" w:left="1134" w:header="426" w:footer="720" w:gutter="0"/>
          <w:cols w:num="2" w:space="720"/>
          <w:titlePg/>
          <w:docGrid w:linePitch="360"/>
        </w:sectPr>
      </w:pPr>
    </w:p>
    <w:p w14:paraId="72E3EE7D" w14:textId="105A4D42" w:rsidR="001B1DA2" w:rsidRPr="008256BC" w:rsidRDefault="001B1DA2" w:rsidP="001B1DA2">
      <w:pPr>
        <w:jc w:val="center"/>
      </w:pPr>
      <w:r w:rsidRPr="008256BC">
        <w:rPr>
          <w:noProof/>
          <w14:ligatures w14:val="standardContextual"/>
        </w:rPr>
        <w:lastRenderedPageBreak/>
        <w:drawing>
          <wp:inline distT="0" distB="0" distL="0" distR="0" wp14:anchorId="0F93A1D9" wp14:editId="2DB4B084">
            <wp:extent cx="5940425" cy="4569460"/>
            <wp:effectExtent l="0" t="0" r="3175" b="2540"/>
            <wp:docPr id="139775994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759941" name="Рисунок 139775994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0425" cy="4569460"/>
                    </a:xfrm>
                    <a:prstGeom prst="rect">
                      <a:avLst/>
                    </a:prstGeom>
                  </pic:spPr>
                </pic:pic>
              </a:graphicData>
            </a:graphic>
          </wp:inline>
        </w:drawing>
      </w:r>
    </w:p>
    <w:p w14:paraId="2D412C38" w14:textId="30911D2B" w:rsidR="001B1DA2" w:rsidRDefault="001B1DA2" w:rsidP="001B1DA2">
      <w:pPr>
        <w:jc w:val="center"/>
      </w:pPr>
      <w:r w:rsidRPr="00565AE6">
        <w:rPr>
          <w:b/>
        </w:rPr>
        <w:t>Fig. 4.</w:t>
      </w:r>
      <w:r w:rsidRPr="008256BC">
        <w:t xml:space="preserve"> Ecological stability of the top ten floristic families based on niche breadth values.</w:t>
      </w:r>
    </w:p>
    <w:p w14:paraId="4A18D1C3" w14:textId="77777777" w:rsidR="00BB1A53" w:rsidRPr="008256BC" w:rsidRDefault="00BB1A53" w:rsidP="001B1DA2">
      <w:pPr>
        <w:jc w:val="center"/>
      </w:pPr>
    </w:p>
    <w:p w14:paraId="529076CC" w14:textId="77777777" w:rsidR="001B1DA2" w:rsidRDefault="001B1DA2" w:rsidP="001B1DA2">
      <w:pPr>
        <w:rPr>
          <w:b/>
          <w:bCs/>
        </w:rPr>
        <w:sectPr w:rsidR="001B1DA2" w:rsidSect="001B1DA2">
          <w:type w:val="continuous"/>
          <w:pgSz w:w="12240" w:h="15840"/>
          <w:pgMar w:top="1134" w:right="1134" w:bottom="1134" w:left="1134" w:header="426" w:footer="720" w:gutter="0"/>
          <w:cols w:space="720"/>
          <w:titlePg/>
          <w:docGrid w:linePitch="360"/>
        </w:sectPr>
      </w:pPr>
    </w:p>
    <w:p w14:paraId="384A2F18" w14:textId="051D559F" w:rsidR="001B1DA2" w:rsidRDefault="001B1DA2" w:rsidP="001B1DA2">
      <w:pPr>
        <w:rPr>
          <w:b/>
          <w:bCs/>
        </w:rPr>
      </w:pPr>
      <w:r w:rsidRPr="008256BC">
        <w:rPr>
          <w:b/>
          <w:bCs/>
        </w:rPr>
        <w:lastRenderedPageBreak/>
        <w:t>3.4. Taxonomic diversity: Shannon Diversity Index (SDI)</w:t>
      </w:r>
    </w:p>
    <w:p w14:paraId="516A56A1" w14:textId="77777777" w:rsidR="00565AE6" w:rsidRPr="008256BC" w:rsidRDefault="00565AE6" w:rsidP="001B1DA2">
      <w:pPr>
        <w:rPr>
          <w:b/>
          <w:bCs/>
        </w:rPr>
      </w:pPr>
    </w:p>
    <w:p w14:paraId="10FD81E4" w14:textId="6D8401F8" w:rsidR="001B1DA2" w:rsidRPr="008256BC" w:rsidRDefault="001B1DA2" w:rsidP="00565AE6">
      <w:pPr>
        <w:jc w:val="both"/>
      </w:pPr>
      <w:r w:rsidRPr="008256BC">
        <w:t xml:space="preserve">Taxonomic diversity of floristic families was assessed using the Shannon Diversity Index (SDI). The results revealed considerable variation in taxonomic diversity among families (Fig. 5). The highest SDI value was recorded for </w:t>
      </w:r>
      <w:proofErr w:type="spellStart"/>
      <w:r w:rsidRPr="008256BC">
        <w:t>Fabaceae</w:t>
      </w:r>
      <w:proofErr w:type="spellEnd"/>
      <w:r w:rsidRPr="008256BC">
        <w:t xml:space="preserve"> (4.77), followed by </w:t>
      </w:r>
      <w:proofErr w:type="spellStart"/>
      <w:r w:rsidRPr="008256BC">
        <w:t>Asteraceae</w:t>
      </w:r>
      <w:proofErr w:type="spellEnd"/>
      <w:r w:rsidRPr="008256BC">
        <w:t xml:space="preserve"> (4.67). </w:t>
      </w:r>
      <w:proofErr w:type="spellStart"/>
      <w:r w:rsidRPr="008256BC">
        <w:t>Poaceae</w:t>
      </w:r>
      <w:proofErr w:type="spellEnd"/>
      <w:r w:rsidRPr="008256BC">
        <w:t xml:space="preserve"> (4.12) and </w:t>
      </w:r>
      <w:proofErr w:type="spellStart"/>
      <w:r w:rsidRPr="008256BC">
        <w:t>Lamiaceae</w:t>
      </w:r>
      <w:proofErr w:type="spellEnd"/>
      <w:r w:rsidRPr="008256BC">
        <w:t xml:space="preserve"> (4.11) also exhibited relatively high taxonomic diversity. Intermediate values were observed for </w:t>
      </w:r>
      <w:proofErr w:type="spellStart"/>
      <w:r w:rsidRPr="008256BC">
        <w:t>Apiaceae</w:t>
      </w:r>
      <w:proofErr w:type="spellEnd"/>
      <w:r w:rsidRPr="008256BC">
        <w:t xml:space="preserve"> (3.90) and </w:t>
      </w:r>
      <w:proofErr w:type="spellStart"/>
      <w:r w:rsidRPr="008256BC">
        <w:t>Brassicaceae</w:t>
      </w:r>
      <w:proofErr w:type="spellEnd"/>
      <w:r w:rsidRPr="008256BC">
        <w:t xml:space="preserve"> (3.87). Lower SDI values were recorded for </w:t>
      </w:r>
      <w:proofErr w:type="spellStart"/>
      <w:r w:rsidRPr="008256BC">
        <w:t>Ranunculaceae</w:t>
      </w:r>
      <w:proofErr w:type="spellEnd"/>
      <w:r w:rsidRPr="008256BC">
        <w:t xml:space="preserve"> (3.65) </w:t>
      </w:r>
      <w:r w:rsidRPr="008256BC">
        <w:lastRenderedPageBreak/>
        <w:t xml:space="preserve">and </w:t>
      </w:r>
      <w:proofErr w:type="spellStart"/>
      <w:r w:rsidRPr="008256BC">
        <w:t>Amaranthaceae</w:t>
      </w:r>
      <w:proofErr w:type="spellEnd"/>
      <w:r w:rsidRPr="008256BC">
        <w:t xml:space="preserve"> (3.57), while the lowest values were in </w:t>
      </w:r>
      <w:proofErr w:type="spellStart"/>
      <w:r w:rsidRPr="008256BC">
        <w:t>Caryophyllaceae</w:t>
      </w:r>
      <w:proofErr w:type="spellEnd"/>
      <w:r w:rsidRPr="008256BC">
        <w:t xml:space="preserve"> (3.46) and </w:t>
      </w:r>
      <w:proofErr w:type="spellStart"/>
      <w:r w:rsidRPr="008256BC">
        <w:t>Boraginaceae</w:t>
      </w:r>
      <w:proofErr w:type="spellEnd"/>
      <w:r w:rsidRPr="008256BC">
        <w:t xml:space="preserve"> (3.44). The high SDI values of </w:t>
      </w:r>
      <w:proofErr w:type="spellStart"/>
      <w:r w:rsidRPr="008256BC">
        <w:t>Fabaceae</w:t>
      </w:r>
      <w:proofErr w:type="spellEnd"/>
      <w:r w:rsidRPr="008256BC">
        <w:t xml:space="preserve"> and </w:t>
      </w:r>
      <w:proofErr w:type="spellStart"/>
      <w:r w:rsidRPr="008256BC">
        <w:t>Asteraceae</w:t>
      </w:r>
      <w:proofErr w:type="spellEnd"/>
      <w:r w:rsidRPr="008256BC">
        <w:t xml:space="preserve"> indicate a relatively complex and well-balanced taxonomic structure within these families. Although </w:t>
      </w:r>
      <w:proofErr w:type="spellStart"/>
      <w:r w:rsidRPr="008256BC">
        <w:t>Poaceae</w:t>
      </w:r>
      <w:proofErr w:type="spellEnd"/>
      <w:r w:rsidRPr="008256BC">
        <w:t xml:space="preserve"> and </w:t>
      </w:r>
      <w:proofErr w:type="spellStart"/>
      <w:r w:rsidRPr="008256BC">
        <w:t>Lamiaceae</w:t>
      </w:r>
      <w:proofErr w:type="spellEnd"/>
      <w:r w:rsidRPr="008256BC">
        <w:t xml:space="preserve"> also showed high diversity, their values were lower than those of the leading families. Overall, the SDI results demonstrate that the taxonomic component varies considerably among families and plays a crucial role in the subsequent integrative PSI assessment.</w:t>
      </w:r>
    </w:p>
    <w:p w14:paraId="151DA194" w14:textId="77777777" w:rsidR="001B1DA2" w:rsidRDefault="001B1DA2" w:rsidP="001B1DA2">
      <w:pPr>
        <w:jc w:val="both"/>
        <w:sectPr w:rsidR="001B1DA2" w:rsidSect="00C7702F">
          <w:type w:val="continuous"/>
          <w:pgSz w:w="12240" w:h="15840"/>
          <w:pgMar w:top="1134" w:right="1134" w:bottom="1134" w:left="1134" w:header="426" w:footer="720" w:gutter="0"/>
          <w:cols w:num="2" w:space="720"/>
          <w:titlePg/>
          <w:docGrid w:linePitch="360"/>
        </w:sectPr>
      </w:pPr>
    </w:p>
    <w:p w14:paraId="686CB6F5" w14:textId="1934AEAB" w:rsidR="001B1DA2" w:rsidRPr="008256BC" w:rsidRDefault="001B1DA2" w:rsidP="001B1DA2">
      <w:pPr>
        <w:jc w:val="center"/>
      </w:pPr>
      <w:r w:rsidRPr="008256BC">
        <w:rPr>
          <w:noProof/>
        </w:rPr>
        <w:lastRenderedPageBreak/>
        <w:drawing>
          <wp:inline distT="0" distB="0" distL="0" distR="0" wp14:anchorId="07E471A7" wp14:editId="61E8C1E6">
            <wp:extent cx="5937885" cy="3712845"/>
            <wp:effectExtent l="0" t="0" r="5715"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7885" cy="3712845"/>
                    </a:xfrm>
                    <a:prstGeom prst="rect">
                      <a:avLst/>
                    </a:prstGeom>
                    <a:noFill/>
                  </pic:spPr>
                </pic:pic>
              </a:graphicData>
            </a:graphic>
          </wp:inline>
        </w:drawing>
      </w:r>
    </w:p>
    <w:p w14:paraId="2DB3B883" w14:textId="77777777" w:rsidR="001B1DA2" w:rsidRPr="008256BC" w:rsidRDefault="001B1DA2" w:rsidP="001B1DA2">
      <w:pPr>
        <w:jc w:val="center"/>
      </w:pPr>
      <w:r w:rsidRPr="00565AE6">
        <w:rPr>
          <w:b/>
        </w:rPr>
        <w:t>Fig. 5.</w:t>
      </w:r>
      <w:r w:rsidRPr="008256BC">
        <w:t xml:space="preserve"> Shannon diversity index (SDI) values for the top 10 floristic families in the flora of </w:t>
      </w:r>
      <w:proofErr w:type="spellStart"/>
      <w:r w:rsidRPr="008256BC">
        <w:t>Surkhandarya</w:t>
      </w:r>
      <w:proofErr w:type="spellEnd"/>
      <w:r w:rsidRPr="008256BC">
        <w:t>, showing differences in taxonomic diversity among families.</w:t>
      </w:r>
    </w:p>
    <w:p w14:paraId="3A396050" w14:textId="091DA471" w:rsidR="001B1DA2" w:rsidRDefault="001B1DA2" w:rsidP="001B1DA2">
      <w:pPr>
        <w:rPr>
          <w:b/>
          <w:bCs/>
        </w:rPr>
      </w:pPr>
    </w:p>
    <w:p w14:paraId="513A4583" w14:textId="77777777" w:rsidR="00BB1A53" w:rsidRDefault="00BB1A53" w:rsidP="001B1DA2">
      <w:pPr>
        <w:rPr>
          <w:b/>
          <w:bCs/>
        </w:rPr>
        <w:sectPr w:rsidR="00BB1A53" w:rsidSect="001B1DA2">
          <w:type w:val="continuous"/>
          <w:pgSz w:w="12240" w:h="15840"/>
          <w:pgMar w:top="1134" w:right="1134" w:bottom="1134" w:left="1134" w:header="426" w:footer="720" w:gutter="0"/>
          <w:cols w:space="720"/>
          <w:titlePg/>
          <w:docGrid w:linePitch="360"/>
        </w:sectPr>
      </w:pPr>
    </w:p>
    <w:p w14:paraId="62BA3575" w14:textId="4CF61B98" w:rsidR="001B1DA2" w:rsidRDefault="001B1DA2" w:rsidP="001B1DA2">
      <w:pPr>
        <w:rPr>
          <w:b/>
          <w:bCs/>
        </w:rPr>
      </w:pPr>
      <w:r w:rsidRPr="008256BC">
        <w:rPr>
          <w:b/>
          <w:bCs/>
        </w:rPr>
        <w:lastRenderedPageBreak/>
        <w:t>3.5. Integrated assessment: Polymorph Stability Index (PSI)</w:t>
      </w:r>
    </w:p>
    <w:p w14:paraId="188D74A2" w14:textId="77777777" w:rsidR="00BB1A53" w:rsidRPr="008256BC" w:rsidRDefault="00BB1A53" w:rsidP="001B1DA2">
      <w:pPr>
        <w:rPr>
          <w:b/>
          <w:bCs/>
        </w:rPr>
      </w:pPr>
    </w:p>
    <w:p w14:paraId="1CA1A85E" w14:textId="77777777" w:rsidR="001B1DA2" w:rsidRPr="008256BC" w:rsidRDefault="001B1DA2" w:rsidP="00565AE6">
      <w:pPr>
        <w:jc w:val="both"/>
      </w:pPr>
      <w:r w:rsidRPr="008256BC">
        <w:t xml:space="preserve">The Polymorph Stability Index (PSI) integrates spatial, ecological, and taxonomic indicators into a single composite measure of floristic family dominance. The results revealed substantial variation in overall dominance among families (Fig. 6). The highest PSI value was recorded for </w:t>
      </w:r>
      <w:proofErr w:type="spellStart"/>
      <w:r w:rsidRPr="008256BC">
        <w:t>Fabaceae</w:t>
      </w:r>
      <w:proofErr w:type="spellEnd"/>
      <w:r w:rsidRPr="008256BC">
        <w:t xml:space="preserve"> (0.874), followed by </w:t>
      </w:r>
      <w:proofErr w:type="spellStart"/>
      <w:r w:rsidRPr="008256BC">
        <w:t>Asteraceae</w:t>
      </w:r>
      <w:proofErr w:type="spellEnd"/>
      <w:r w:rsidRPr="008256BC">
        <w:t xml:space="preserve"> (0.801), </w:t>
      </w:r>
      <w:proofErr w:type="spellStart"/>
      <w:r w:rsidRPr="008256BC">
        <w:t>Poaceae</w:t>
      </w:r>
      <w:proofErr w:type="spellEnd"/>
      <w:r w:rsidRPr="008256BC">
        <w:t xml:space="preserve"> (0.732), and </w:t>
      </w:r>
      <w:proofErr w:type="spellStart"/>
      <w:r w:rsidRPr="008256BC">
        <w:t>Lamiaceae</w:t>
      </w:r>
      <w:proofErr w:type="spellEnd"/>
      <w:r w:rsidRPr="008256BC">
        <w:t xml:space="preserve"> (0.726). </w:t>
      </w:r>
      <w:proofErr w:type="spellStart"/>
      <w:r w:rsidRPr="008256BC">
        <w:t>Brassicaceae</w:t>
      </w:r>
      <w:proofErr w:type="spellEnd"/>
      <w:r w:rsidRPr="008256BC">
        <w:t xml:space="preserve"> and </w:t>
      </w:r>
      <w:proofErr w:type="spellStart"/>
      <w:r w:rsidRPr="008256BC">
        <w:t>Apiaceae</w:t>
      </w:r>
      <w:proofErr w:type="spellEnd"/>
      <w:r w:rsidRPr="008256BC">
        <w:t xml:space="preserve"> showed identical values (0.674). Intermediate PSI values were observed for </w:t>
      </w:r>
      <w:proofErr w:type="spellStart"/>
      <w:r w:rsidRPr="008256BC">
        <w:t>Boraginaceae</w:t>
      </w:r>
      <w:proofErr w:type="spellEnd"/>
      <w:r w:rsidRPr="008256BC">
        <w:t xml:space="preserve"> (0.615) and </w:t>
      </w:r>
      <w:proofErr w:type="spellStart"/>
      <w:r w:rsidRPr="008256BC">
        <w:t>Ranunculaceae</w:t>
      </w:r>
      <w:proofErr w:type="spellEnd"/>
      <w:r w:rsidRPr="008256BC">
        <w:t xml:space="preserve"> (0.586), while lower values were recorded for </w:t>
      </w:r>
      <w:proofErr w:type="spellStart"/>
      <w:r w:rsidRPr="008256BC">
        <w:t>Amaryllidaceae</w:t>
      </w:r>
      <w:proofErr w:type="spellEnd"/>
      <w:r w:rsidRPr="008256BC">
        <w:t xml:space="preserve"> (0.574) and </w:t>
      </w:r>
      <w:proofErr w:type="spellStart"/>
      <w:r w:rsidRPr="008256BC">
        <w:t>Caryophyllaceae</w:t>
      </w:r>
      <w:proofErr w:type="spellEnd"/>
      <w:r w:rsidRPr="008256BC">
        <w:t xml:space="preserve"> (0.569). The PSI ranking indicates that the highest-ranked families generally exhibit a balanced combination of spatial coverage, ecological adaptability, and taxonomic diversity. In </w:t>
      </w:r>
      <w:r w:rsidRPr="008256BC">
        <w:lastRenderedPageBreak/>
        <w:t>contrast, some families showed high values in individual components but lower overall PSI due to weaker performance in other dimensions.</w:t>
      </w:r>
    </w:p>
    <w:p w14:paraId="00C4CFFB" w14:textId="7C4C6BDE" w:rsidR="001B1DA2" w:rsidRPr="008256BC" w:rsidRDefault="001B1DA2" w:rsidP="001B1DA2">
      <w:pPr>
        <w:ind w:firstLine="708"/>
        <w:jc w:val="both"/>
        <w:rPr>
          <w:noProof/>
          <w14:ligatures w14:val="standardContextual"/>
        </w:rPr>
      </w:pPr>
      <w:r w:rsidRPr="008256BC">
        <w:t xml:space="preserve">These </w:t>
      </w:r>
      <w:r w:rsidR="00272372">
        <w:t>findings</w:t>
      </w:r>
      <w:r w:rsidR="00272372" w:rsidRPr="008256BC">
        <w:t xml:space="preserve"> </w:t>
      </w:r>
      <w:r w:rsidRPr="008256BC">
        <w:t>demonstrate that floristic dominance cannot be adequately captured by a single metric, and that an integrative, multidimensional approach such as PSI provides a more comprehensive assessment of floristic structure.</w:t>
      </w:r>
    </w:p>
    <w:p w14:paraId="6BF5C121" w14:textId="77777777" w:rsidR="001B1DA2" w:rsidRDefault="001B1DA2" w:rsidP="001B1DA2">
      <w:pPr>
        <w:sectPr w:rsidR="001B1DA2" w:rsidSect="00C7702F">
          <w:type w:val="continuous"/>
          <w:pgSz w:w="12240" w:h="15840"/>
          <w:pgMar w:top="1134" w:right="1134" w:bottom="1134" w:left="1134" w:header="426" w:footer="720" w:gutter="0"/>
          <w:cols w:num="2" w:space="720"/>
          <w:titlePg/>
          <w:docGrid w:linePitch="360"/>
        </w:sectPr>
      </w:pPr>
    </w:p>
    <w:p w14:paraId="196B7BA5" w14:textId="6CEA1A09" w:rsidR="001B1DA2" w:rsidRPr="008256BC" w:rsidRDefault="001B1DA2" w:rsidP="001B1DA2">
      <w:pPr>
        <w:jc w:val="center"/>
      </w:pPr>
      <w:r w:rsidRPr="008256BC">
        <w:rPr>
          <w:noProof/>
        </w:rPr>
        <w:lastRenderedPageBreak/>
        <w:drawing>
          <wp:inline distT="0" distB="0" distL="0" distR="0" wp14:anchorId="3963712B" wp14:editId="36F94594">
            <wp:extent cx="5937885" cy="4243070"/>
            <wp:effectExtent l="0" t="0" r="5715"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7885" cy="4243070"/>
                    </a:xfrm>
                    <a:prstGeom prst="rect">
                      <a:avLst/>
                    </a:prstGeom>
                    <a:noFill/>
                  </pic:spPr>
                </pic:pic>
              </a:graphicData>
            </a:graphic>
          </wp:inline>
        </w:drawing>
      </w:r>
    </w:p>
    <w:p w14:paraId="4B7329E8" w14:textId="77777777" w:rsidR="001B1DA2" w:rsidRPr="008256BC" w:rsidRDefault="001B1DA2" w:rsidP="001B1DA2">
      <w:pPr>
        <w:jc w:val="center"/>
      </w:pPr>
      <w:r w:rsidRPr="00565AE6">
        <w:rPr>
          <w:b/>
        </w:rPr>
        <w:t>Fig. 6.</w:t>
      </w:r>
      <w:r w:rsidRPr="008256BC">
        <w:t xml:space="preserve"> PSI-based ranking of floristic families in </w:t>
      </w:r>
      <w:proofErr w:type="spellStart"/>
      <w:r w:rsidRPr="008256BC">
        <w:t>Surkhandarya</w:t>
      </w:r>
      <w:proofErr w:type="spellEnd"/>
      <w:r w:rsidRPr="008256BC">
        <w:t>.</w:t>
      </w:r>
    </w:p>
    <w:p w14:paraId="70E041E1" w14:textId="4B60E994" w:rsidR="00BB1A53" w:rsidRDefault="00BB1A53" w:rsidP="001B1DA2">
      <w:pPr>
        <w:rPr>
          <w:b/>
          <w:bCs/>
        </w:rPr>
      </w:pPr>
    </w:p>
    <w:p w14:paraId="5FEDB3CC" w14:textId="77777777" w:rsidR="00BB1A53" w:rsidRDefault="00BB1A53" w:rsidP="001B1DA2">
      <w:pPr>
        <w:rPr>
          <w:b/>
          <w:bCs/>
        </w:rPr>
        <w:sectPr w:rsidR="00BB1A53" w:rsidSect="00BB1A53">
          <w:headerReference w:type="first" r:id="rId26"/>
          <w:pgSz w:w="12240" w:h="15840"/>
          <w:pgMar w:top="1134" w:right="1134" w:bottom="1134" w:left="1134" w:header="284" w:footer="720" w:gutter="0"/>
          <w:cols w:space="720"/>
          <w:docGrid w:linePitch="360"/>
        </w:sectPr>
      </w:pPr>
    </w:p>
    <w:p w14:paraId="1C1B7AC5" w14:textId="0B09CBB4" w:rsidR="001B1DA2" w:rsidRDefault="001B1DA2" w:rsidP="001B1DA2">
      <w:pPr>
        <w:rPr>
          <w:b/>
          <w:bCs/>
        </w:rPr>
      </w:pPr>
      <w:r w:rsidRPr="008256BC">
        <w:rPr>
          <w:b/>
          <w:bCs/>
        </w:rPr>
        <w:lastRenderedPageBreak/>
        <w:t xml:space="preserve">4. </w:t>
      </w:r>
      <w:r w:rsidR="006D1796" w:rsidRPr="006D1796">
        <w:rPr>
          <w:b/>
          <w:bCs/>
          <w:sz w:val="28"/>
        </w:rPr>
        <w:t>DISCUSSION</w:t>
      </w:r>
    </w:p>
    <w:p w14:paraId="0DB48494" w14:textId="77777777" w:rsidR="00BB1A53" w:rsidRPr="008256BC" w:rsidRDefault="00BB1A53" w:rsidP="001B1DA2">
      <w:pPr>
        <w:rPr>
          <w:b/>
          <w:bCs/>
        </w:rPr>
      </w:pPr>
    </w:p>
    <w:p w14:paraId="65418C50" w14:textId="66FD5F67" w:rsidR="001B1DA2" w:rsidRDefault="001B1DA2" w:rsidP="001B1DA2">
      <w:pPr>
        <w:rPr>
          <w:b/>
          <w:bCs/>
        </w:rPr>
      </w:pPr>
      <w:r w:rsidRPr="008256BC">
        <w:rPr>
          <w:b/>
          <w:bCs/>
        </w:rPr>
        <w:t>4.1 Integrated dominance of floristic families and global patterns</w:t>
      </w:r>
    </w:p>
    <w:p w14:paraId="059F5D38" w14:textId="77777777" w:rsidR="00565AE6" w:rsidRDefault="00565AE6" w:rsidP="00565AE6">
      <w:pPr>
        <w:jc w:val="both"/>
        <w:rPr>
          <w:b/>
          <w:bCs/>
        </w:rPr>
      </w:pPr>
    </w:p>
    <w:p w14:paraId="1EB0D479" w14:textId="1AD32FB1" w:rsidR="001B1DA2" w:rsidRPr="008256BC" w:rsidRDefault="001B1DA2" w:rsidP="00565AE6">
      <w:pPr>
        <w:jc w:val="both"/>
      </w:pPr>
      <w:r w:rsidRPr="008256BC">
        <w:t xml:space="preserve">The </w:t>
      </w:r>
      <w:r w:rsidR="00272372">
        <w:t>findings from</w:t>
      </w:r>
      <w:r w:rsidRPr="008256BC">
        <w:t xml:space="preserve"> this study demonstrate that the dominance of polymorphic floristic families in the </w:t>
      </w:r>
      <w:proofErr w:type="spellStart"/>
      <w:r w:rsidRPr="008256BC">
        <w:t>Surkhandarya</w:t>
      </w:r>
      <w:proofErr w:type="spellEnd"/>
      <w:r w:rsidRPr="008256BC">
        <w:t xml:space="preserve"> flora is not determined solely by taxonomic richness, but rather by the integrated influence of spatial coverage, ecological adaptability, and internal diversity. This finding is consistent with contemporary </w:t>
      </w:r>
      <w:proofErr w:type="spellStart"/>
      <w:r w:rsidRPr="008256BC">
        <w:t>macroecological</w:t>
      </w:r>
      <w:proofErr w:type="spellEnd"/>
      <w:r w:rsidRPr="008256BC">
        <w:t xml:space="preserve"> frameworks, which emphasize that plant diversity is shaped by the combined effects of climatic, edaphic, and topographic gradients (</w:t>
      </w:r>
      <w:proofErr w:type="spellStart"/>
      <w:r w:rsidRPr="008256BC">
        <w:rPr>
          <w:highlight w:val="yellow"/>
        </w:rPr>
        <w:t>Bañares</w:t>
      </w:r>
      <w:proofErr w:type="spellEnd"/>
      <w:r w:rsidRPr="008256BC">
        <w:rPr>
          <w:highlight w:val="yellow"/>
        </w:rPr>
        <w:t xml:space="preserve">-de-Dios et al., 2022; </w:t>
      </w:r>
      <w:proofErr w:type="spellStart"/>
      <w:r w:rsidRPr="008256BC">
        <w:rPr>
          <w:highlight w:val="yellow"/>
        </w:rPr>
        <w:t>Dagne</w:t>
      </w:r>
      <w:proofErr w:type="spellEnd"/>
      <w:r w:rsidRPr="008256BC">
        <w:rPr>
          <w:highlight w:val="yellow"/>
        </w:rPr>
        <w:t xml:space="preserve"> &amp; </w:t>
      </w:r>
      <w:proofErr w:type="spellStart"/>
      <w:r w:rsidRPr="008256BC">
        <w:rPr>
          <w:highlight w:val="yellow"/>
        </w:rPr>
        <w:t>Birhanu</w:t>
      </w:r>
      <w:proofErr w:type="spellEnd"/>
      <w:r w:rsidRPr="008256BC">
        <w:rPr>
          <w:highlight w:val="yellow"/>
        </w:rPr>
        <w:t>, 2023; Fine, 2015</w:t>
      </w:r>
      <w:r w:rsidRPr="008256BC">
        <w:t>).</w:t>
      </w:r>
    </w:p>
    <w:p w14:paraId="00D3DFA8" w14:textId="5831DFA2" w:rsidR="001B1DA2" w:rsidRDefault="001B1DA2" w:rsidP="001B1DA2">
      <w:pPr>
        <w:ind w:firstLine="708"/>
        <w:jc w:val="both"/>
      </w:pPr>
      <w:r w:rsidRPr="008256BC">
        <w:t xml:space="preserve">The </w:t>
      </w:r>
      <w:r w:rsidR="00272372">
        <w:t>findings</w:t>
      </w:r>
      <w:r w:rsidR="00272372" w:rsidRPr="008256BC">
        <w:t xml:space="preserve"> </w:t>
      </w:r>
      <w:r w:rsidRPr="008256BC">
        <w:t xml:space="preserve">can also be interpreted within the framework of classical </w:t>
      </w:r>
      <w:proofErr w:type="spellStart"/>
      <w:r w:rsidRPr="008256BC">
        <w:t>florogenetic</w:t>
      </w:r>
      <w:proofErr w:type="spellEnd"/>
      <w:r w:rsidRPr="008256BC">
        <w:t xml:space="preserve"> theory. As noted by </w:t>
      </w:r>
      <w:proofErr w:type="spellStart"/>
      <w:r w:rsidRPr="008256BC">
        <w:t>Kamelin</w:t>
      </w:r>
      <w:proofErr w:type="spellEnd"/>
      <w:r w:rsidRPr="008256BC">
        <w:t xml:space="preserve"> (2017), flora represents a historically structured system of floristic complexes with diverse origins, rather </w:t>
      </w:r>
      <w:r w:rsidRPr="008256BC">
        <w:lastRenderedPageBreak/>
        <w:t xml:space="preserve">than a simple assemblage of species. From this perspective, the dominant families identified in </w:t>
      </w:r>
      <w:proofErr w:type="spellStart"/>
      <w:r w:rsidRPr="008256BC">
        <w:t>Surkhandarya</w:t>
      </w:r>
      <w:proofErr w:type="spellEnd"/>
      <w:r w:rsidRPr="008256BC">
        <w:t xml:space="preserve"> reflect not only present-day ecological filtering, but also long-term evolutionary and </w:t>
      </w:r>
      <w:proofErr w:type="spellStart"/>
      <w:r w:rsidRPr="008256BC">
        <w:t>florogenetic</w:t>
      </w:r>
      <w:proofErr w:type="spellEnd"/>
      <w:r w:rsidRPr="008256BC">
        <w:t xml:space="preserve"> processes.</w:t>
      </w:r>
    </w:p>
    <w:p w14:paraId="3F4A1258" w14:textId="77777777" w:rsidR="00BB1A53" w:rsidRPr="008256BC" w:rsidRDefault="00BB1A53" w:rsidP="001B1DA2">
      <w:pPr>
        <w:ind w:firstLine="708"/>
        <w:jc w:val="both"/>
      </w:pPr>
    </w:p>
    <w:p w14:paraId="5B37DE43" w14:textId="0B577912" w:rsidR="001B1DA2" w:rsidRDefault="001B1DA2" w:rsidP="001B1DA2">
      <w:pPr>
        <w:jc w:val="both"/>
        <w:rPr>
          <w:b/>
          <w:bCs/>
        </w:rPr>
      </w:pPr>
      <w:r w:rsidRPr="008256BC">
        <w:rPr>
          <w:b/>
          <w:bCs/>
        </w:rPr>
        <w:t xml:space="preserve">4.2 Dominance of </w:t>
      </w:r>
      <w:proofErr w:type="spellStart"/>
      <w:r w:rsidRPr="008256BC">
        <w:rPr>
          <w:b/>
          <w:bCs/>
        </w:rPr>
        <w:t>Fabaceae</w:t>
      </w:r>
      <w:proofErr w:type="spellEnd"/>
      <w:r w:rsidRPr="008256BC">
        <w:rPr>
          <w:b/>
          <w:bCs/>
        </w:rPr>
        <w:t xml:space="preserve">, </w:t>
      </w:r>
      <w:proofErr w:type="spellStart"/>
      <w:r w:rsidRPr="008256BC">
        <w:rPr>
          <w:b/>
          <w:bCs/>
        </w:rPr>
        <w:t>Asteraceae</w:t>
      </w:r>
      <w:proofErr w:type="spellEnd"/>
      <w:r w:rsidRPr="008256BC">
        <w:rPr>
          <w:b/>
          <w:bCs/>
        </w:rPr>
        <w:t xml:space="preserve">, and </w:t>
      </w:r>
      <w:proofErr w:type="spellStart"/>
      <w:r w:rsidRPr="008256BC">
        <w:rPr>
          <w:b/>
          <w:bCs/>
        </w:rPr>
        <w:t>Poaceae</w:t>
      </w:r>
      <w:proofErr w:type="spellEnd"/>
      <w:r w:rsidRPr="008256BC">
        <w:rPr>
          <w:b/>
          <w:bCs/>
        </w:rPr>
        <w:t>: global and regional context</w:t>
      </w:r>
    </w:p>
    <w:p w14:paraId="76BF6B76" w14:textId="77777777" w:rsidR="00565AE6" w:rsidRDefault="00565AE6" w:rsidP="00565AE6">
      <w:pPr>
        <w:jc w:val="both"/>
        <w:rPr>
          <w:b/>
          <w:bCs/>
        </w:rPr>
      </w:pPr>
    </w:p>
    <w:p w14:paraId="09568CF5" w14:textId="6CF2862D" w:rsidR="001B1DA2" w:rsidRPr="008256BC" w:rsidRDefault="001B1DA2" w:rsidP="00565AE6">
      <w:pPr>
        <w:jc w:val="both"/>
      </w:pPr>
      <w:r w:rsidRPr="008256BC">
        <w:t xml:space="preserve">The high PSI values observed for </w:t>
      </w:r>
      <w:proofErr w:type="spellStart"/>
      <w:r w:rsidRPr="008256BC">
        <w:t>Fabaceae</w:t>
      </w:r>
      <w:proofErr w:type="spellEnd"/>
      <w:r w:rsidRPr="008256BC">
        <w:t xml:space="preserve">, </w:t>
      </w:r>
      <w:proofErr w:type="spellStart"/>
      <w:r w:rsidRPr="008256BC">
        <w:t>Asteraceae</w:t>
      </w:r>
      <w:proofErr w:type="spellEnd"/>
      <w:r w:rsidRPr="008256BC">
        <w:t xml:space="preserve">, and </w:t>
      </w:r>
      <w:proofErr w:type="spellStart"/>
      <w:r w:rsidRPr="008256BC">
        <w:t>Poaceae</w:t>
      </w:r>
      <w:proofErr w:type="spellEnd"/>
      <w:r w:rsidRPr="008256BC">
        <w:t xml:space="preserve"> are consistent with their global ecological success (</w:t>
      </w:r>
      <w:r w:rsidRPr="008256BC">
        <w:rPr>
          <w:highlight w:val="yellow"/>
        </w:rPr>
        <w:t>Ma et al., 2024</w:t>
      </w:r>
      <w:r w:rsidRPr="008256BC">
        <w:t xml:space="preserve">). The dominance of </w:t>
      </w:r>
      <w:proofErr w:type="spellStart"/>
      <w:r w:rsidRPr="008256BC">
        <w:t>Fabaceae</w:t>
      </w:r>
      <w:proofErr w:type="spellEnd"/>
      <w:r w:rsidRPr="008256BC">
        <w:t xml:space="preserve"> can be attributed to its ecological versatility, particularly its ability to fix atmospheric nitrogen, which enables it to thrive in nutrient-poor soils (</w:t>
      </w:r>
      <w:proofErr w:type="spellStart"/>
      <w:r w:rsidRPr="008256BC">
        <w:rPr>
          <w:highlight w:val="yellow"/>
        </w:rPr>
        <w:t>Vitousek</w:t>
      </w:r>
      <w:proofErr w:type="spellEnd"/>
      <w:r w:rsidRPr="008256BC">
        <w:rPr>
          <w:highlight w:val="yellow"/>
        </w:rPr>
        <w:t xml:space="preserve"> et al., 2013; Siddiqui, 2025</w:t>
      </w:r>
      <w:r w:rsidRPr="008256BC">
        <w:t xml:space="preserve">). </w:t>
      </w:r>
      <w:proofErr w:type="spellStart"/>
      <w:r w:rsidRPr="008256BC">
        <w:t>Asteraceae</w:t>
      </w:r>
      <w:proofErr w:type="spellEnd"/>
      <w:r w:rsidRPr="008256BC">
        <w:t>, in contrast, achieve dominance through its broad ecological amplitude and effective dispersal strategies, allowing it to occupy diverse biogeographical regions (</w:t>
      </w:r>
      <w:proofErr w:type="spellStart"/>
      <w:r w:rsidRPr="008256BC">
        <w:rPr>
          <w:highlight w:val="yellow"/>
        </w:rPr>
        <w:t>Tackenberg</w:t>
      </w:r>
      <w:proofErr w:type="spellEnd"/>
      <w:r w:rsidRPr="008256BC">
        <w:rPr>
          <w:highlight w:val="yellow"/>
        </w:rPr>
        <w:t xml:space="preserve"> et al., 2003; Mandel et al., 2019</w:t>
      </w:r>
      <w:r w:rsidRPr="008256BC">
        <w:t xml:space="preserve">). </w:t>
      </w:r>
      <w:proofErr w:type="spellStart"/>
      <w:r w:rsidRPr="008256BC">
        <w:t>Poaceae</w:t>
      </w:r>
      <w:proofErr w:type="spellEnd"/>
      <w:r w:rsidRPr="008256BC">
        <w:t xml:space="preserve"> </w:t>
      </w:r>
      <w:r w:rsidR="00272372">
        <w:t>are</w:t>
      </w:r>
      <w:r w:rsidR="00272372" w:rsidRPr="008256BC">
        <w:t xml:space="preserve"> </w:t>
      </w:r>
      <w:r w:rsidRPr="008256BC">
        <w:t xml:space="preserve">distinguished by high </w:t>
      </w:r>
      <w:r w:rsidRPr="008256BC">
        <w:lastRenderedPageBreak/>
        <w:t>ecological plasticity and rapid adaptation to environmental changes, particularly in open and semi-arid environments (</w:t>
      </w:r>
      <w:r w:rsidRPr="008256BC">
        <w:rPr>
          <w:highlight w:val="yellow"/>
        </w:rPr>
        <w:t xml:space="preserve">Linder, 2018; </w:t>
      </w:r>
      <w:proofErr w:type="spellStart"/>
      <w:r w:rsidRPr="008256BC">
        <w:rPr>
          <w:highlight w:val="yellow"/>
        </w:rPr>
        <w:t>Mouillot</w:t>
      </w:r>
      <w:proofErr w:type="spellEnd"/>
      <w:r w:rsidRPr="008256BC">
        <w:rPr>
          <w:highlight w:val="yellow"/>
        </w:rPr>
        <w:t xml:space="preserve"> et al., 2013</w:t>
      </w:r>
      <w:r w:rsidRPr="008256BC">
        <w:t>).</w:t>
      </w:r>
    </w:p>
    <w:p w14:paraId="586A3F10" w14:textId="2F12606A" w:rsidR="001B1DA2" w:rsidRDefault="001B1DA2" w:rsidP="001B1DA2">
      <w:pPr>
        <w:ind w:firstLine="706"/>
        <w:jc w:val="both"/>
      </w:pPr>
      <w:r w:rsidRPr="008256BC">
        <w:t xml:space="preserve">The findings are also consistent with </w:t>
      </w:r>
      <w:proofErr w:type="spellStart"/>
      <w:r w:rsidRPr="008256BC">
        <w:t>florogenetic</w:t>
      </w:r>
      <w:proofErr w:type="spellEnd"/>
      <w:r w:rsidRPr="008256BC">
        <w:t xml:space="preserve"> interpretations, in which dominant families are considered components of a historically formed floristic core (</w:t>
      </w:r>
      <w:proofErr w:type="spellStart"/>
      <w:r w:rsidRPr="008256BC">
        <w:rPr>
          <w:highlight w:val="yellow"/>
        </w:rPr>
        <w:t>Kamelin</w:t>
      </w:r>
      <w:proofErr w:type="spellEnd"/>
      <w:r w:rsidRPr="008256BC">
        <w:rPr>
          <w:highlight w:val="yellow"/>
        </w:rPr>
        <w:t>, 2017</w:t>
      </w:r>
      <w:r w:rsidRPr="008256BC">
        <w:t xml:space="preserve">). Furthermore, while classical floristic studies often present these families in the order </w:t>
      </w:r>
      <w:proofErr w:type="spellStart"/>
      <w:r w:rsidRPr="008256BC">
        <w:t>Asteraceae</w:t>
      </w:r>
      <w:proofErr w:type="spellEnd"/>
      <w:r w:rsidRPr="008256BC">
        <w:t>–</w:t>
      </w:r>
      <w:proofErr w:type="spellStart"/>
      <w:r w:rsidRPr="008256BC">
        <w:t>Fabaceae</w:t>
      </w:r>
      <w:proofErr w:type="spellEnd"/>
      <w:r w:rsidRPr="008256BC">
        <w:t>–</w:t>
      </w:r>
      <w:proofErr w:type="spellStart"/>
      <w:r w:rsidRPr="008256BC">
        <w:t>Poaceae</w:t>
      </w:r>
      <w:proofErr w:type="spellEnd"/>
      <w:r w:rsidRPr="008256BC">
        <w:t xml:space="preserve"> based on taxonomic richness (</w:t>
      </w:r>
      <w:proofErr w:type="spellStart"/>
      <w:r w:rsidRPr="008256BC">
        <w:rPr>
          <w:highlight w:val="yellow"/>
        </w:rPr>
        <w:t>Kamelin</w:t>
      </w:r>
      <w:proofErr w:type="spellEnd"/>
      <w:r w:rsidRPr="008256BC">
        <w:rPr>
          <w:highlight w:val="yellow"/>
        </w:rPr>
        <w:t>, 1973</w:t>
      </w:r>
      <w:r w:rsidRPr="008256BC">
        <w:t>), the PSI-based ranking (</w:t>
      </w:r>
      <w:proofErr w:type="spellStart"/>
      <w:r w:rsidRPr="008256BC">
        <w:t>Fabaceae</w:t>
      </w:r>
      <w:proofErr w:type="spellEnd"/>
      <w:r w:rsidRPr="008256BC">
        <w:t>–</w:t>
      </w:r>
      <w:proofErr w:type="spellStart"/>
      <w:r w:rsidRPr="008256BC">
        <w:t>Asteraceae</w:t>
      </w:r>
      <w:proofErr w:type="spellEnd"/>
      <w:r w:rsidRPr="008256BC">
        <w:t>–</w:t>
      </w:r>
      <w:proofErr w:type="spellStart"/>
      <w:r w:rsidRPr="008256BC">
        <w:t>Poaceae</w:t>
      </w:r>
      <w:proofErr w:type="spellEnd"/>
      <w:r w:rsidRPr="008256BC">
        <w:t>) reflects differences in evaluation criteria. Specifically, PSI integrates spatial distribution, ecological plasticity, and internal diversity, providing a more comprehensive assessment of floristic dominance.</w:t>
      </w:r>
    </w:p>
    <w:p w14:paraId="0765C20C" w14:textId="77777777" w:rsidR="00BB1A53" w:rsidRPr="008256BC" w:rsidRDefault="00BB1A53" w:rsidP="001B1DA2">
      <w:pPr>
        <w:ind w:firstLine="706"/>
        <w:jc w:val="both"/>
      </w:pPr>
    </w:p>
    <w:p w14:paraId="7F021B28" w14:textId="3D86CF76" w:rsidR="001B1DA2" w:rsidRDefault="001B1DA2" w:rsidP="001B1DA2">
      <w:pPr>
        <w:jc w:val="both"/>
        <w:rPr>
          <w:b/>
          <w:bCs/>
        </w:rPr>
      </w:pPr>
      <w:r w:rsidRPr="008256BC">
        <w:rPr>
          <w:b/>
          <w:bCs/>
        </w:rPr>
        <w:t>4.3 Mismatch between taxonomic diversity and ecological breadth</w:t>
      </w:r>
    </w:p>
    <w:p w14:paraId="282BD4F1" w14:textId="77777777" w:rsidR="00565AE6" w:rsidRDefault="00565AE6" w:rsidP="00565AE6">
      <w:pPr>
        <w:jc w:val="both"/>
        <w:rPr>
          <w:b/>
          <w:bCs/>
        </w:rPr>
      </w:pPr>
    </w:p>
    <w:p w14:paraId="0ED8BF47" w14:textId="625669F5" w:rsidR="001B1DA2" w:rsidRPr="008256BC" w:rsidRDefault="001B1DA2" w:rsidP="00565AE6">
      <w:pPr>
        <w:jc w:val="both"/>
      </w:pPr>
      <w:r w:rsidRPr="008256BC">
        <w:t>The results of this study reveal no direct relationship between taxonomic richness (SDI) and ecological niche breadth. This finding is consistent with ecological theory suggesting that niche breadth does not necessarily scale with species richness (</w:t>
      </w:r>
      <w:proofErr w:type="spellStart"/>
      <w:r w:rsidRPr="008256BC">
        <w:rPr>
          <w:highlight w:val="yellow"/>
        </w:rPr>
        <w:t>Devictor</w:t>
      </w:r>
      <w:proofErr w:type="spellEnd"/>
      <w:r w:rsidRPr="008256BC">
        <w:rPr>
          <w:highlight w:val="yellow"/>
        </w:rPr>
        <w:t xml:space="preserve"> et al., 2010</w:t>
      </w:r>
      <w:r w:rsidRPr="008256BC">
        <w:t>), although species with broader ecological niches tend to occupy wider geographic ranges (</w:t>
      </w:r>
      <w:proofErr w:type="spellStart"/>
      <w:r w:rsidRPr="008256BC">
        <w:rPr>
          <w:highlight w:val="yellow"/>
        </w:rPr>
        <w:t>Slatyer</w:t>
      </w:r>
      <w:proofErr w:type="spellEnd"/>
      <w:r w:rsidRPr="008256BC">
        <w:rPr>
          <w:highlight w:val="yellow"/>
        </w:rPr>
        <w:t xml:space="preserve"> et al., 2013</w:t>
      </w:r>
      <w:r w:rsidRPr="008256BC">
        <w:t>). This pattern reflects the independent trajectories of ecological and evolutionary processes.</w:t>
      </w:r>
    </w:p>
    <w:p w14:paraId="2C2EB014" w14:textId="133B17C8" w:rsidR="001B1DA2" w:rsidRDefault="001B1DA2" w:rsidP="001B1DA2">
      <w:pPr>
        <w:ind w:firstLine="706"/>
        <w:jc w:val="both"/>
      </w:pPr>
      <w:r w:rsidRPr="008256BC">
        <w:t>Accordingly, the results confirm that assessing polymorphism based solely on species richness is insufficient (</w:t>
      </w:r>
      <w:r w:rsidRPr="008256BC">
        <w:rPr>
          <w:highlight w:val="yellow"/>
        </w:rPr>
        <w:t>Fleishman et al., 2006; Morris et al., 2014</w:t>
      </w:r>
      <w:r w:rsidRPr="008256BC">
        <w:t xml:space="preserve">). </w:t>
      </w:r>
      <w:proofErr w:type="spellStart"/>
      <w:r w:rsidRPr="008256BC">
        <w:t>Kamelin’s</w:t>
      </w:r>
      <w:proofErr w:type="spellEnd"/>
      <w:r w:rsidRPr="008256BC">
        <w:t xml:space="preserve"> </w:t>
      </w:r>
      <w:proofErr w:type="spellStart"/>
      <w:r w:rsidRPr="008256BC">
        <w:t>florogenetic</w:t>
      </w:r>
      <w:proofErr w:type="spellEnd"/>
      <w:r w:rsidRPr="008256BC">
        <w:t xml:space="preserve"> concept similarly emphasizes that taxonomic richness and ecological amplitude are shaped by different evolutionary pathways and do not necessarily correspond (</w:t>
      </w:r>
      <w:proofErr w:type="spellStart"/>
      <w:r w:rsidRPr="008256BC">
        <w:rPr>
          <w:highlight w:val="yellow"/>
        </w:rPr>
        <w:t>Kamelin</w:t>
      </w:r>
      <w:proofErr w:type="spellEnd"/>
      <w:r w:rsidRPr="008256BC">
        <w:rPr>
          <w:highlight w:val="yellow"/>
        </w:rPr>
        <w:t>, 1973</w:t>
      </w:r>
      <w:r w:rsidRPr="008256BC">
        <w:t>).</w:t>
      </w:r>
    </w:p>
    <w:p w14:paraId="5D0C1511" w14:textId="77777777" w:rsidR="00BB1A53" w:rsidRPr="008256BC" w:rsidRDefault="00BB1A53" w:rsidP="001B1DA2">
      <w:pPr>
        <w:ind w:firstLine="706"/>
        <w:jc w:val="both"/>
      </w:pPr>
    </w:p>
    <w:p w14:paraId="1625CC54" w14:textId="2279B855" w:rsidR="001B1DA2" w:rsidRDefault="001B1DA2" w:rsidP="001B1DA2">
      <w:pPr>
        <w:jc w:val="both"/>
        <w:rPr>
          <w:b/>
          <w:bCs/>
        </w:rPr>
      </w:pPr>
      <w:r w:rsidRPr="008256BC">
        <w:rPr>
          <w:b/>
          <w:bCs/>
        </w:rPr>
        <w:t>4.4 Spatial distribution and the role of landscape heterogeneity</w:t>
      </w:r>
    </w:p>
    <w:p w14:paraId="52D2B86A" w14:textId="77777777" w:rsidR="00565AE6" w:rsidRDefault="00565AE6" w:rsidP="00565AE6">
      <w:pPr>
        <w:jc w:val="both"/>
        <w:rPr>
          <w:b/>
          <w:bCs/>
        </w:rPr>
      </w:pPr>
    </w:p>
    <w:p w14:paraId="431C7CEB" w14:textId="27CF328B" w:rsidR="001B1DA2" w:rsidRPr="008256BC" w:rsidRDefault="001B1DA2" w:rsidP="00565AE6">
      <w:pPr>
        <w:jc w:val="both"/>
      </w:pPr>
      <w:r w:rsidRPr="008256BC">
        <w:t xml:space="preserve">The results obtained using the KDE and triangulation–threshold approaches demonstrate that the distribution of floristic families is closely associated with landscape heterogeneity. </w:t>
      </w:r>
      <w:r w:rsidRPr="008256BC">
        <w:lastRenderedPageBreak/>
        <w:t xml:space="preserve">The complex relief of the </w:t>
      </w:r>
      <w:proofErr w:type="spellStart"/>
      <w:r w:rsidRPr="008256BC">
        <w:t>Surkhandarya</w:t>
      </w:r>
      <w:proofErr w:type="spellEnd"/>
      <w:r w:rsidRPr="008256BC">
        <w:t xml:space="preserve"> region, characterized by the combination of mountain systems, valleys, and foothills, creates pronounced spatial differentiation in floristic patterns. Similar patterns have been reported in other regions, where KDE and hull-based methods have proven effective tools for delineating species distributions (</w:t>
      </w:r>
      <w:r w:rsidRPr="008256BC">
        <w:rPr>
          <w:highlight w:val="yellow"/>
        </w:rPr>
        <w:t>Jana et al., 2024; Meyer et al., 2020</w:t>
      </w:r>
      <w:r w:rsidRPr="008256BC">
        <w:t>).</w:t>
      </w:r>
    </w:p>
    <w:p w14:paraId="36F12B5F" w14:textId="31C0F695" w:rsidR="001B1DA2" w:rsidRDefault="001B1DA2" w:rsidP="001B1DA2">
      <w:pPr>
        <w:ind w:firstLine="706"/>
        <w:jc w:val="both"/>
      </w:pPr>
      <w:r w:rsidRPr="008256BC">
        <w:t xml:space="preserve">As noted by </w:t>
      </w:r>
      <w:proofErr w:type="spellStart"/>
      <w:r w:rsidRPr="008256BC">
        <w:t>Tolmachev</w:t>
      </w:r>
      <w:proofErr w:type="spellEnd"/>
      <w:r w:rsidRPr="008256BC">
        <w:t xml:space="preserve"> (1986), regional floras often </w:t>
      </w:r>
      <w:r>
        <w:t>comprise multiple floristic elements, resulting in</w:t>
      </w:r>
      <w:r w:rsidRPr="008256BC">
        <w:t xml:space="preserve"> high spatial heterogeneity.</w:t>
      </w:r>
    </w:p>
    <w:p w14:paraId="52C075A3" w14:textId="77777777" w:rsidR="00BB1A53" w:rsidRPr="008256BC" w:rsidRDefault="00BB1A53" w:rsidP="001B1DA2">
      <w:pPr>
        <w:ind w:firstLine="706"/>
        <w:jc w:val="both"/>
      </w:pPr>
    </w:p>
    <w:p w14:paraId="5D19B9D8" w14:textId="66D72846" w:rsidR="001B1DA2" w:rsidRDefault="001B1DA2" w:rsidP="001B1DA2">
      <w:pPr>
        <w:jc w:val="both"/>
        <w:rPr>
          <w:b/>
          <w:bCs/>
        </w:rPr>
      </w:pPr>
      <w:r w:rsidRPr="008256BC">
        <w:rPr>
          <w:b/>
          <w:bCs/>
        </w:rPr>
        <w:t>4.5 Methodological innovation: advantages of the PSI model</w:t>
      </w:r>
    </w:p>
    <w:p w14:paraId="6137C590" w14:textId="77777777" w:rsidR="00565AE6" w:rsidRDefault="00565AE6" w:rsidP="00565AE6">
      <w:pPr>
        <w:jc w:val="both"/>
        <w:rPr>
          <w:b/>
          <w:bCs/>
        </w:rPr>
      </w:pPr>
    </w:p>
    <w:p w14:paraId="3EFB879C" w14:textId="7CFBC169" w:rsidR="001B1DA2" w:rsidRPr="008256BC" w:rsidRDefault="001B1DA2" w:rsidP="00565AE6">
      <w:pPr>
        <w:jc w:val="both"/>
      </w:pPr>
      <w:r w:rsidRPr="008256BC">
        <w:t>The Polymorph Stability Index (PSI)</w:t>
      </w:r>
      <w:r>
        <w:t>, introduced in this study, represents a novel integrative approach to</w:t>
      </w:r>
      <w:r w:rsidRPr="008256BC">
        <w:t xml:space="preserve"> evaluating floristic families. By combining spatial, ecological, and taxonomic dimensions, PSI provides a more comprehensive representation of the actual ecological dominance of plant families.</w:t>
      </w:r>
    </w:p>
    <w:p w14:paraId="528E33FA" w14:textId="791FED5F" w:rsidR="001B1DA2" w:rsidRDefault="001B1DA2" w:rsidP="001B1DA2">
      <w:pPr>
        <w:ind w:firstLine="706"/>
        <w:jc w:val="both"/>
      </w:pPr>
      <w:r w:rsidRPr="008256BC">
        <w:t>While traditional approaches are primarily based on species richness (</w:t>
      </w:r>
      <w:r w:rsidRPr="008256BC">
        <w:rPr>
          <w:highlight w:val="yellow"/>
        </w:rPr>
        <w:t>Fleishman et al., 2006</w:t>
      </w:r>
      <w:r w:rsidRPr="008256BC">
        <w:t>), such methods often fail to capture the complexity of ecological patterns. In contrast, modern ecological analyses emphasize the importance of multidimensional indicators (</w:t>
      </w:r>
      <w:proofErr w:type="spellStart"/>
      <w:r w:rsidRPr="008256BC">
        <w:rPr>
          <w:highlight w:val="yellow"/>
        </w:rPr>
        <w:t>Mouillot</w:t>
      </w:r>
      <w:proofErr w:type="spellEnd"/>
      <w:r w:rsidRPr="008256BC">
        <w:rPr>
          <w:highlight w:val="yellow"/>
        </w:rPr>
        <w:t xml:space="preserve"> et al., 2013</w:t>
      </w:r>
      <w:r w:rsidRPr="008256BC">
        <w:t>). The PSI framework effectively addresses this gap by integrating multiple components into a unified assessment.</w:t>
      </w:r>
    </w:p>
    <w:p w14:paraId="58E24CCC" w14:textId="77777777" w:rsidR="00BB1A53" w:rsidRPr="008256BC" w:rsidRDefault="00BB1A53" w:rsidP="001B1DA2">
      <w:pPr>
        <w:ind w:firstLine="706"/>
        <w:jc w:val="both"/>
      </w:pPr>
    </w:p>
    <w:p w14:paraId="346CE286" w14:textId="032EBEA9" w:rsidR="001B1DA2" w:rsidRDefault="001B1DA2" w:rsidP="001B1DA2">
      <w:pPr>
        <w:jc w:val="both"/>
        <w:rPr>
          <w:b/>
          <w:bCs/>
        </w:rPr>
      </w:pPr>
      <w:r w:rsidRPr="008256BC">
        <w:rPr>
          <w:b/>
          <w:bCs/>
        </w:rPr>
        <w:t>4.6 Regional significance in the Central Asian context</w:t>
      </w:r>
    </w:p>
    <w:p w14:paraId="0917926C" w14:textId="77777777" w:rsidR="00565AE6" w:rsidRDefault="00565AE6" w:rsidP="00565AE6">
      <w:pPr>
        <w:jc w:val="both"/>
        <w:rPr>
          <w:b/>
          <w:bCs/>
        </w:rPr>
      </w:pPr>
    </w:p>
    <w:p w14:paraId="503B0D50" w14:textId="587E8740" w:rsidR="001B1DA2" w:rsidRPr="008256BC" w:rsidRDefault="001B1DA2" w:rsidP="00565AE6">
      <w:pPr>
        <w:jc w:val="both"/>
      </w:pPr>
      <w:r w:rsidRPr="008256BC">
        <w:t xml:space="preserve">The flora of Central Asia is characterized by high levels of endemism, complex topographic structure, and pronounced climatic gradients. Within this region, </w:t>
      </w:r>
      <w:proofErr w:type="spellStart"/>
      <w:r w:rsidRPr="008256BC">
        <w:t>Fabaceae</w:t>
      </w:r>
      <w:proofErr w:type="spellEnd"/>
      <w:r w:rsidRPr="008256BC">
        <w:t xml:space="preserve">, </w:t>
      </w:r>
      <w:proofErr w:type="spellStart"/>
      <w:r w:rsidRPr="008256BC">
        <w:t>Asteraceae</w:t>
      </w:r>
      <w:proofErr w:type="spellEnd"/>
      <w:r w:rsidRPr="008256BC">
        <w:t xml:space="preserve">, and </w:t>
      </w:r>
      <w:proofErr w:type="spellStart"/>
      <w:r w:rsidRPr="008256BC">
        <w:t>Poaceae</w:t>
      </w:r>
      <w:proofErr w:type="spellEnd"/>
      <w:r w:rsidRPr="008256BC">
        <w:t xml:space="preserve"> are consistently recognized as the largest and ecologically most successful families (</w:t>
      </w:r>
      <w:r w:rsidRPr="008256BC">
        <w:rPr>
          <w:highlight w:val="yellow"/>
        </w:rPr>
        <w:t>Ma et al., 2024</w:t>
      </w:r>
      <w:r w:rsidRPr="008256BC">
        <w:t xml:space="preserve">). The results obtained for the </w:t>
      </w:r>
      <w:proofErr w:type="spellStart"/>
      <w:r w:rsidRPr="008256BC">
        <w:t>Surkhandarya</w:t>
      </w:r>
      <w:proofErr w:type="spellEnd"/>
      <w:r w:rsidRPr="008256BC">
        <w:t xml:space="preserve"> region confirm these regional patterns and further enhance the biogeographical significance of the study.</w:t>
      </w:r>
    </w:p>
    <w:p w14:paraId="047A9FB7" w14:textId="77777777" w:rsidR="001B1DA2" w:rsidRPr="008256BC" w:rsidRDefault="001B1DA2" w:rsidP="001B1DA2">
      <w:pPr>
        <w:ind w:firstLine="706"/>
        <w:jc w:val="both"/>
      </w:pPr>
      <w:r w:rsidRPr="008256BC">
        <w:t xml:space="preserve">The dominance of these families in the </w:t>
      </w:r>
      <w:proofErr w:type="spellStart"/>
      <w:r w:rsidRPr="008256BC">
        <w:t>Surkhandarya</w:t>
      </w:r>
      <w:proofErr w:type="spellEnd"/>
      <w:r w:rsidRPr="008256BC">
        <w:t xml:space="preserve"> flora, as reflected by high PSI values, indicates that their success is driven not </w:t>
      </w:r>
      <w:r w:rsidRPr="008256BC">
        <w:lastRenderedPageBreak/>
        <w:t>only by contemporary ecological factors but also by historical processes of floristic development. The formation of the Central Asian flora has been shaped by the interaction of migratory and autochthonous processes, which are considered key determinants of its current floristic structure (</w:t>
      </w:r>
      <w:proofErr w:type="spellStart"/>
      <w:r w:rsidRPr="008256BC">
        <w:rPr>
          <w:highlight w:val="yellow"/>
        </w:rPr>
        <w:t>Zakirov</w:t>
      </w:r>
      <w:proofErr w:type="spellEnd"/>
      <w:r w:rsidRPr="008256BC">
        <w:rPr>
          <w:highlight w:val="yellow"/>
        </w:rPr>
        <w:t>, 1976</w:t>
      </w:r>
      <w:r w:rsidRPr="008256BC">
        <w:t>).</w:t>
      </w:r>
    </w:p>
    <w:p w14:paraId="6F4DE74D" w14:textId="4B8F3FC9" w:rsidR="001B1DA2" w:rsidRDefault="001B1DA2" w:rsidP="001B1DA2">
      <w:pPr>
        <w:ind w:firstLine="706"/>
        <w:jc w:val="both"/>
      </w:pPr>
      <w:r w:rsidRPr="008256BC">
        <w:t>These findings are also consistent with classical studies demonstrating high floristic richness and structural complexity in mountainous regions (</w:t>
      </w:r>
      <w:proofErr w:type="spellStart"/>
      <w:r w:rsidRPr="008256BC">
        <w:rPr>
          <w:highlight w:val="yellow"/>
        </w:rPr>
        <w:t>Krasovskaya</w:t>
      </w:r>
      <w:proofErr w:type="spellEnd"/>
      <w:r w:rsidRPr="008256BC">
        <w:rPr>
          <w:highlight w:val="yellow"/>
        </w:rPr>
        <w:t xml:space="preserve"> &amp; </w:t>
      </w:r>
      <w:proofErr w:type="spellStart"/>
      <w:r w:rsidRPr="008256BC">
        <w:rPr>
          <w:highlight w:val="yellow"/>
        </w:rPr>
        <w:t>Levichev</w:t>
      </w:r>
      <w:proofErr w:type="spellEnd"/>
      <w:r w:rsidRPr="008256BC">
        <w:rPr>
          <w:highlight w:val="yellow"/>
        </w:rPr>
        <w:t>, 1986</w:t>
      </w:r>
      <w:r w:rsidRPr="008256BC">
        <w:t xml:space="preserve">). Consequently, the identified dominant families constitute the core structural and functional backbone of the </w:t>
      </w:r>
      <w:proofErr w:type="spellStart"/>
      <w:r w:rsidRPr="008256BC">
        <w:t>Surkhandarya</w:t>
      </w:r>
      <w:proofErr w:type="spellEnd"/>
      <w:r w:rsidRPr="008256BC">
        <w:t xml:space="preserve"> flora, playing a central role in its ecological stability and biogeographical organization.</w:t>
      </w:r>
    </w:p>
    <w:p w14:paraId="518ECD3F" w14:textId="77777777" w:rsidR="00BB1A53" w:rsidRPr="008256BC" w:rsidRDefault="00BB1A53" w:rsidP="001B1DA2">
      <w:pPr>
        <w:ind w:firstLine="706"/>
        <w:jc w:val="both"/>
      </w:pPr>
    </w:p>
    <w:p w14:paraId="1AAF5B2D" w14:textId="3047D973" w:rsidR="001B1DA2" w:rsidRDefault="001B1DA2" w:rsidP="001B1DA2">
      <w:pPr>
        <w:jc w:val="both"/>
        <w:rPr>
          <w:b/>
          <w:bCs/>
        </w:rPr>
      </w:pPr>
      <w:r w:rsidRPr="008256BC">
        <w:rPr>
          <w:b/>
          <w:bCs/>
        </w:rPr>
        <w:t>4.7 Limitations and future directions</w:t>
      </w:r>
    </w:p>
    <w:p w14:paraId="4BEA1CE1" w14:textId="77777777" w:rsidR="00565AE6" w:rsidRDefault="00565AE6" w:rsidP="00565AE6">
      <w:pPr>
        <w:jc w:val="both"/>
        <w:rPr>
          <w:b/>
          <w:bCs/>
        </w:rPr>
      </w:pPr>
    </w:p>
    <w:p w14:paraId="54499DE5" w14:textId="1EE17FA2" w:rsidR="001B1DA2" w:rsidRPr="008256BC" w:rsidRDefault="001B1DA2" w:rsidP="00565AE6">
      <w:pPr>
        <w:jc w:val="both"/>
      </w:pPr>
      <w:r w:rsidRPr="008256BC">
        <w:t>Despite the robustness of the findings, several limitations should be acknowledged. First, the uneven spatial distribution of georeferenced data may have influenced the spatial metrics of certain floristic families. Second, although the environmental variables used in the analysis capture the main climatic and edaphic gradients, factors such as microclimate, anthropogenic pressure, and biotic interactions were not fully incorporated. Third, generalization at the family level may obscure important ecological differences at the species level.</w:t>
      </w:r>
    </w:p>
    <w:p w14:paraId="273B3E26" w14:textId="12B9E8B6" w:rsidR="001B1DA2" w:rsidRDefault="001B1DA2" w:rsidP="001B1DA2">
      <w:pPr>
        <w:ind w:firstLine="706"/>
        <w:jc w:val="both"/>
      </w:pPr>
      <w:r w:rsidRPr="008256BC">
        <w:t>Future research should focus on applying the PSI framework at species and genus levels, integrating functional trait and phylogenetic data, and incorporating climate change scenarios to further enhance its analytical potential.</w:t>
      </w:r>
    </w:p>
    <w:p w14:paraId="012141BF" w14:textId="77777777" w:rsidR="00BB1A53" w:rsidRPr="008256BC" w:rsidRDefault="00BB1A53" w:rsidP="001B1DA2">
      <w:pPr>
        <w:ind w:firstLine="706"/>
        <w:jc w:val="both"/>
      </w:pPr>
    </w:p>
    <w:p w14:paraId="26CBF71F" w14:textId="17D4CB5C" w:rsidR="001B1DA2" w:rsidRPr="006D1796" w:rsidRDefault="006D1796" w:rsidP="001B1DA2">
      <w:pPr>
        <w:ind w:firstLine="708"/>
        <w:jc w:val="both"/>
        <w:rPr>
          <w:b/>
          <w:bCs/>
          <w:sz w:val="28"/>
        </w:rPr>
      </w:pPr>
      <w:r w:rsidRPr="006D1796">
        <w:rPr>
          <w:b/>
          <w:bCs/>
          <w:sz w:val="28"/>
        </w:rPr>
        <w:t>CONCLUSION</w:t>
      </w:r>
    </w:p>
    <w:p w14:paraId="2F242B84" w14:textId="77777777" w:rsidR="00565AE6" w:rsidRDefault="00565AE6" w:rsidP="00565AE6">
      <w:pPr>
        <w:jc w:val="both"/>
        <w:rPr>
          <w:b/>
          <w:bCs/>
        </w:rPr>
      </w:pPr>
    </w:p>
    <w:p w14:paraId="79D42664" w14:textId="7C99B0E5" w:rsidR="001B1DA2" w:rsidRPr="008256BC" w:rsidRDefault="001B1DA2" w:rsidP="00565AE6">
      <w:pPr>
        <w:jc w:val="both"/>
      </w:pPr>
      <w:r w:rsidRPr="008256BC">
        <w:t xml:space="preserve">This study demonstrates that the dominance of polymorphic floristic families in the flora of </w:t>
      </w:r>
      <w:proofErr w:type="spellStart"/>
      <w:r w:rsidRPr="008256BC">
        <w:t>Surkhandarya</w:t>
      </w:r>
      <w:proofErr w:type="spellEnd"/>
      <w:r w:rsidRPr="008256BC">
        <w:t xml:space="preserve"> is determined by </w:t>
      </w:r>
      <w:r>
        <w:t xml:space="preserve">multiple factors rather than by </w:t>
      </w:r>
      <w:r w:rsidRPr="008256BC">
        <w:t>taxonomic richness alone. The results indicate that family-level dominance is shaped by the integrated effects of spatial distribution, ecological adaptability, and internal diversity.</w:t>
      </w:r>
    </w:p>
    <w:p w14:paraId="5AD1CB21" w14:textId="77777777" w:rsidR="001B1DA2" w:rsidRPr="008256BC" w:rsidRDefault="001B1DA2" w:rsidP="001B1DA2">
      <w:pPr>
        <w:ind w:firstLine="706"/>
        <w:jc w:val="both"/>
      </w:pPr>
      <w:r w:rsidRPr="008256BC">
        <w:t xml:space="preserve">Spatial analyses revealed that </w:t>
      </w:r>
      <w:proofErr w:type="spellStart"/>
      <w:r w:rsidRPr="008256BC">
        <w:t>Fabaceae</w:t>
      </w:r>
      <w:proofErr w:type="spellEnd"/>
      <w:r w:rsidRPr="008256BC">
        <w:t xml:space="preserve">, </w:t>
      </w:r>
      <w:proofErr w:type="spellStart"/>
      <w:r w:rsidRPr="008256BC">
        <w:t>Asteraceae</w:t>
      </w:r>
      <w:proofErr w:type="spellEnd"/>
      <w:r w:rsidRPr="008256BC">
        <w:t xml:space="preserve">, and </w:t>
      </w:r>
      <w:proofErr w:type="spellStart"/>
      <w:r w:rsidRPr="008256BC">
        <w:t>Poaceae</w:t>
      </w:r>
      <w:proofErr w:type="spellEnd"/>
      <w:r w:rsidRPr="008256BC">
        <w:t xml:space="preserve"> exhibit the highest </w:t>
      </w:r>
      <w:r w:rsidRPr="008256BC">
        <w:lastRenderedPageBreak/>
        <w:t>levels of geographic coverage and spatial intensity within the study area. Ecological analyses further showed that ecological breadth is not directly correlated with taxonomic richness, highlighting the independent roles of ecological and evolutionary processes.</w:t>
      </w:r>
    </w:p>
    <w:p w14:paraId="3D6A941E" w14:textId="77777777" w:rsidR="001B1DA2" w:rsidRPr="008256BC" w:rsidRDefault="001B1DA2" w:rsidP="001B1DA2">
      <w:pPr>
        <w:ind w:firstLine="706"/>
        <w:jc w:val="both"/>
      </w:pPr>
      <w:r w:rsidRPr="008256BC">
        <w:t>The Polymorph Stability Index (PSI) proved to be an effective tool for the integrated assessment of floristic dominance, identifying families with high PSI values as the core polymorphic components of the regional flora.</w:t>
      </w:r>
    </w:p>
    <w:p w14:paraId="3CC128A7" w14:textId="77777777" w:rsidR="001B1DA2" w:rsidRPr="008256BC" w:rsidRDefault="001B1DA2" w:rsidP="001B1DA2">
      <w:pPr>
        <w:ind w:firstLine="706"/>
        <w:jc w:val="both"/>
      </w:pPr>
      <w:r w:rsidRPr="008256BC">
        <w:t xml:space="preserve">Overall, the findings emphasize that assessing polymorphism requires a multidimensional approach that integrates spatial, ecological, and taxonomic components. The proposed PSI framework offers a transferable methodology </w:t>
      </w:r>
      <w:r>
        <w:t>applicable</w:t>
      </w:r>
      <w:r w:rsidRPr="008256BC">
        <w:t xml:space="preserve"> to other regions for comprehensive floristic analysis.</w:t>
      </w:r>
    </w:p>
    <w:p w14:paraId="7DBF91CF" w14:textId="77777777" w:rsidR="00565AE6" w:rsidRDefault="00565AE6" w:rsidP="00565AE6">
      <w:pPr>
        <w:jc w:val="both"/>
        <w:rPr>
          <w:b/>
          <w:bCs/>
        </w:rPr>
      </w:pPr>
    </w:p>
    <w:p w14:paraId="59415BC5" w14:textId="07450438" w:rsidR="001B1DA2" w:rsidRDefault="001B1DA2" w:rsidP="00565AE6">
      <w:pPr>
        <w:jc w:val="both"/>
        <w:rPr>
          <w:b/>
          <w:bCs/>
        </w:rPr>
      </w:pPr>
      <w:r w:rsidRPr="008256BC">
        <w:rPr>
          <w:b/>
          <w:bCs/>
        </w:rPr>
        <w:t xml:space="preserve">Acknowledgements </w:t>
      </w:r>
    </w:p>
    <w:p w14:paraId="65A67084" w14:textId="77777777" w:rsidR="00565AE6" w:rsidRDefault="00565AE6" w:rsidP="00565AE6">
      <w:pPr>
        <w:jc w:val="both"/>
        <w:rPr>
          <w:b/>
          <w:bCs/>
        </w:rPr>
      </w:pPr>
    </w:p>
    <w:p w14:paraId="3B6A6AE2" w14:textId="7E718FCC" w:rsidR="001B1DA2" w:rsidRPr="008256BC" w:rsidRDefault="001B1DA2" w:rsidP="00565AE6">
      <w:pPr>
        <w:jc w:val="both"/>
      </w:pPr>
      <w:r w:rsidRPr="008256BC">
        <w:t>This research was carried out within the framework of the State Program of the Institute of Botany, Academy of Sciences of the Republic of Uzbekistan, entitled “Digital Nature: Development of a Digital Platform for the Flora of Central Uzbekistan” (2025–2029).</w:t>
      </w:r>
    </w:p>
    <w:p w14:paraId="7C934387" w14:textId="225D5C96" w:rsidR="001B1DA2" w:rsidRDefault="001B1DA2" w:rsidP="001B1DA2">
      <w:pPr>
        <w:ind w:firstLine="706"/>
        <w:jc w:val="both"/>
      </w:pPr>
      <w:r w:rsidRPr="008256BC">
        <w:t xml:space="preserve">The study was also supported by the fundamental research projects “Taxonomic revision of polymorphic families in the flora of Uzbekistan” (A-FA-2021-427) and “Transboundary biodiversity hotspots of Uzbekistan and their current status” (FL-9024093685), as well as applied projects “Bioclimatic and geospatial analysis of medicinal plant resources of the Republic, patterns of adaptation and distribution (on the example of the genus </w:t>
      </w:r>
      <w:r w:rsidRPr="000C3533">
        <w:rPr>
          <w:i/>
          <w:iCs/>
        </w:rPr>
        <w:t>Ferula</w:t>
      </w:r>
      <w:r w:rsidRPr="008256BC">
        <w:t xml:space="preserve"> L.)” (FL-9524115063) and “Preparation of the first Uzbek-language edition of the Flora of Uzbekistan” (AL-9224104450).</w:t>
      </w:r>
    </w:p>
    <w:p w14:paraId="72B5B371" w14:textId="77777777" w:rsidR="00BB1A53" w:rsidRPr="008256BC" w:rsidRDefault="00BB1A53" w:rsidP="001B1DA2">
      <w:pPr>
        <w:ind w:firstLine="706"/>
        <w:jc w:val="both"/>
      </w:pPr>
    </w:p>
    <w:p w14:paraId="59573D05" w14:textId="4BA025D6" w:rsidR="006015E8" w:rsidRPr="006D1796" w:rsidRDefault="006D1796" w:rsidP="006015E8">
      <w:pPr>
        <w:jc w:val="both"/>
        <w:rPr>
          <w:b/>
          <w:bCs/>
          <w:sz w:val="28"/>
        </w:rPr>
      </w:pPr>
      <w:r w:rsidRPr="006D1796">
        <w:rPr>
          <w:b/>
          <w:bCs/>
          <w:sz w:val="28"/>
        </w:rPr>
        <w:t>REFERENCES</w:t>
      </w:r>
    </w:p>
    <w:p w14:paraId="7F5F46E3" w14:textId="77777777" w:rsidR="00BB1A53" w:rsidRPr="00B17A81" w:rsidRDefault="00BB1A53" w:rsidP="006015E8">
      <w:pPr>
        <w:jc w:val="both"/>
        <w:rPr>
          <w:b/>
          <w:bCs/>
        </w:rPr>
      </w:pPr>
    </w:p>
    <w:p w14:paraId="77F3D02C" w14:textId="48D9C6E9" w:rsidR="001B1DA2" w:rsidRDefault="001B1DA2" w:rsidP="001B1DA2">
      <w:pPr>
        <w:ind w:left="360" w:hanging="360"/>
        <w:jc w:val="both"/>
      </w:pPr>
      <w:proofErr w:type="spellStart"/>
      <w:r>
        <w:t>Bañares</w:t>
      </w:r>
      <w:proofErr w:type="spellEnd"/>
      <w:r>
        <w:t xml:space="preserve">-de-Dios, G., Peña-Claros, M., de Camargo, P. B., </w:t>
      </w:r>
      <w:proofErr w:type="spellStart"/>
      <w:r>
        <w:t>Poorter</w:t>
      </w:r>
      <w:proofErr w:type="spellEnd"/>
      <w:r>
        <w:t xml:space="preserve">, L. (2022). Soil and climate drive floristic composition in tropical forests: A literature review. Frontiers in Ecology and Evolution, 10, </w:t>
      </w:r>
      <w:r>
        <w:lastRenderedPageBreak/>
        <w:t xml:space="preserve">866905. https://doi.org/10.3389/fevo.2022.866905 </w:t>
      </w:r>
    </w:p>
    <w:p w14:paraId="5F861D52" w14:textId="5FE6FEDF" w:rsidR="001B1DA2" w:rsidRDefault="001B1DA2" w:rsidP="001B1DA2">
      <w:pPr>
        <w:ind w:left="360" w:hanging="360"/>
        <w:jc w:val="both"/>
      </w:pPr>
      <w:r>
        <w:t xml:space="preserve">Beck, J., </w:t>
      </w:r>
      <w:proofErr w:type="spellStart"/>
      <w:r>
        <w:t>Böller</w:t>
      </w:r>
      <w:proofErr w:type="spellEnd"/>
      <w:r>
        <w:t xml:space="preserve">, M., </w:t>
      </w:r>
      <w:proofErr w:type="spellStart"/>
      <w:r>
        <w:t>Erhardt</w:t>
      </w:r>
      <w:proofErr w:type="spellEnd"/>
      <w:r>
        <w:t xml:space="preserve">, A., </w:t>
      </w:r>
      <w:proofErr w:type="spellStart"/>
      <w:r>
        <w:t>Schwanghart</w:t>
      </w:r>
      <w:proofErr w:type="spellEnd"/>
      <w:r>
        <w:t xml:space="preserve">, W. (2014). Spatial bias in the GBIF database and its effect on modeling species' geographic distributions. Ecological Informatics, 19, 10–15. https://doi.org/10.1016/j.ecoinf.2013.11.002 </w:t>
      </w:r>
    </w:p>
    <w:p w14:paraId="371FBE03" w14:textId="7B4ED240" w:rsidR="001B1DA2" w:rsidRDefault="001B1DA2" w:rsidP="001B1DA2">
      <w:pPr>
        <w:ind w:left="360" w:hanging="360"/>
        <w:jc w:val="both"/>
      </w:pPr>
      <w:proofErr w:type="spellStart"/>
      <w:r>
        <w:t>Dagne</w:t>
      </w:r>
      <w:proofErr w:type="spellEnd"/>
      <w:r>
        <w:t xml:space="preserve">, Y., </w:t>
      </w:r>
      <w:proofErr w:type="spellStart"/>
      <w:r>
        <w:t>Birhanu</w:t>
      </w:r>
      <w:proofErr w:type="spellEnd"/>
      <w:r>
        <w:t xml:space="preserve">, L. (2023). Floristic composition and plant community distribution along environmental gradients in Guard dry Afromontane forest of Northwestern Ethiopia. BMC Ecology and Evolution, 23, 43. https://doi.org/10.1186/s12862-023-02154-6 </w:t>
      </w:r>
    </w:p>
    <w:p w14:paraId="57C95028" w14:textId="7DAD8054" w:rsidR="001B1DA2" w:rsidRDefault="001B1DA2" w:rsidP="001B1DA2">
      <w:pPr>
        <w:ind w:left="360" w:hanging="360"/>
        <w:jc w:val="both"/>
      </w:pPr>
      <w:proofErr w:type="spellStart"/>
      <w:r>
        <w:t>Devictor</w:t>
      </w:r>
      <w:proofErr w:type="spellEnd"/>
      <w:r>
        <w:t xml:space="preserve">, V., </w:t>
      </w:r>
      <w:proofErr w:type="spellStart"/>
      <w:r>
        <w:t>Clavel</w:t>
      </w:r>
      <w:proofErr w:type="spellEnd"/>
      <w:r>
        <w:t xml:space="preserve">, J., Julliard, R., </w:t>
      </w:r>
      <w:proofErr w:type="spellStart"/>
      <w:r>
        <w:t>Lavergne</w:t>
      </w:r>
      <w:proofErr w:type="spellEnd"/>
      <w:r>
        <w:t xml:space="preserve">, S., </w:t>
      </w:r>
      <w:proofErr w:type="spellStart"/>
      <w:r>
        <w:t>Mouillot</w:t>
      </w:r>
      <w:proofErr w:type="spellEnd"/>
      <w:r>
        <w:t xml:space="preserve">, D., </w:t>
      </w:r>
      <w:proofErr w:type="spellStart"/>
      <w:r>
        <w:t>Thuiller</w:t>
      </w:r>
      <w:proofErr w:type="spellEnd"/>
      <w:r>
        <w:t xml:space="preserve">, W., </w:t>
      </w:r>
      <w:proofErr w:type="spellStart"/>
      <w:r>
        <w:t>Venail</w:t>
      </w:r>
      <w:proofErr w:type="spellEnd"/>
      <w:r>
        <w:t xml:space="preserve">, P., </w:t>
      </w:r>
      <w:proofErr w:type="spellStart"/>
      <w:r>
        <w:t>Villéger</w:t>
      </w:r>
      <w:proofErr w:type="spellEnd"/>
      <w:r>
        <w:t xml:space="preserve">, S., </w:t>
      </w:r>
      <w:proofErr w:type="spellStart"/>
      <w:r>
        <w:t>Mouquet</w:t>
      </w:r>
      <w:proofErr w:type="spellEnd"/>
      <w:r>
        <w:t xml:space="preserve">, N. (2010). Defining and measuring ecological specialization. Journal of Applied Ecology, 47(1), 15–25. https://doi.org/10.1111/j.1365-2664.2009.01744.x </w:t>
      </w:r>
    </w:p>
    <w:p w14:paraId="6114EAEB" w14:textId="7C8FE05E" w:rsidR="001B1DA2" w:rsidRDefault="001B1DA2" w:rsidP="001B1DA2">
      <w:pPr>
        <w:ind w:left="360" w:hanging="360"/>
        <w:jc w:val="both"/>
      </w:pPr>
      <w:proofErr w:type="spellStart"/>
      <w:r>
        <w:t>Dormann</w:t>
      </w:r>
      <w:proofErr w:type="spellEnd"/>
      <w:r>
        <w:t xml:space="preserve">, C. F. et al. (2013). Collinearity: a review of methods to deal with it and a simulation study evaluating their performance. </w:t>
      </w:r>
      <w:proofErr w:type="spellStart"/>
      <w:r>
        <w:t>Ecography</w:t>
      </w:r>
      <w:proofErr w:type="spellEnd"/>
      <w:r>
        <w:t xml:space="preserve">, 36(1), 27–46. https://doi.org/10.1111/j.1600-0587.2012.07348.x </w:t>
      </w:r>
    </w:p>
    <w:p w14:paraId="7A8511C9" w14:textId="0B818A0B" w:rsidR="001B1DA2" w:rsidRDefault="001B1DA2" w:rsidP="001B1DA2">
      <w:pPr>
        <w:ind w:left="360" w:hanging="360"/>
        <w:jc w:val="both"/>
      </w:pPr>
      <w:proofErr w:type="spellStart"/>
      <w:r>
        <w:t>Elith</w:t>
      </w:r>
      <w:proofErr w:type="spellEnd"/>
      <w:r>
        <w:t xml:space="preserve">, J., </w:t>
      </w:r>
      <w:proofErr w:type="spellStart"/>
      <w:r>
        <w:t>Leathwick</w:t>
      </w:r>
      <w:proofErr w:type="spellEnd"/>
      <w:r>
        <w:t xml:space="preserve">, J. R. (2009). Species distribution models: ecological explanation and prediction across space and time. Annual Review of Ecology, Evolution, and Systematics, 40(1), 677–697. https://doi.org/10.1146/annurev.ecolsys.110308.120159 </w:t>
      </w:r>
    </w:p>
    <w:p w14:paraId="5E0832BF" w14:textId="198259EC" w:rsidR="001B1DA2" w:rsidRDefault="001B1DA2" w:rsidP="001B1DA2">
      <w:pPr>
        <w:ind w:left="360" w:hanging="360"/>
        <w:jc w:val="both"/>
      </w:pPr>
      <w:r>
        <w:t xml:space="preserve">Fick, S. E., </w:t>
      </w:r>
      <w:proofErr w:type="spellStart"/>
      <w:r>
        <w:t>Hijmans</w:t>
      </w:r>
      <w:proofErr w:type="spellEnd"/>
      <w:r>
        <w:t xml:space="preserve">, R. J. (2017). </w:t>
      </w:r>
      <w:proofErr w:type="spellStart"/>
      <w:r>
        <w:t>WorldClim</w:t>
      </w:r>
      <w:proofErr w:type="spellEnd"/>
      <w:r>
        <w:t xml:space="preserve"> 2: new 1-km spatial resolution climate surfaces for global land areas. International Journal of Climatology, 37(12), 4302–4315. https://doi.org/10.1002/joc.5086 </w:t>
      </w:r>
    </w:p>
    <w:p w14:paraId="7B8FA46C" w14:textId="0EB7651B" w:rsidR="001B1DA2" w:rsidRDefault="001B1DA2" w:rsidP="001B1DA2">
      <w:pPr>
        <w:ind w:left="360" w:hanging="360"/>
        <w:jc w:val="both"/>
      </w:pPr>
      <w:r>
        <w:t xml:space="preserve">Fine, P. V. A. (2015). Ecological and evolutionary drivers of geographic variation in species diversity. Annual Review of Ecology, Evolution, and Systematics, 46(1), 369–392. https://doi.org/10.1146/annurev-ecolsys-112414-054102 </w:t>
      </w:r>
    </w:p>
    <w:p w14:paraId="50A3B7AC" w14:textId="6C8F0F78" w:rsidR="001B1DA2" w:rsidRDefault="001B1DA2" w:rsidP="001B1DA2">
      <w:pPr>
        <w:ind w:left="360" w:hanging="360"/>
        <w:jc w:val="both"/>
      </w:pPr>
      <w:r>
        <w:t xml:space="preserve">Fleishman, E., </w:t>
      </w:r>
      <w:proofErr w:type="spellStart"/>
      <w:r>
        <w:t>Noss</w:t>
      </w:r>
      <w:proofErr w:type="spellEnd"/>
      <w:r>
        <w:t xml:space="preserve">, R. F., Noon, B. R. (2006). Utility and limitations of species richness </w:t>
      </w:r>
      <w:r>
        <w:lastRenderedPageBreak/>
        <w:t xml:space="preserve">metrics for conservation planning. Ecological Indicators, 6(3), 543–553. https://doi.org/10.1016/j.ecolind.2005.07.005 </w:t>
      </w:r>
    </w:p>
    <w:p w14:paraId="33CA25D0" w14:textId="5F2372C8" w:rsidR="001B1DA2" w:rsidRDefault="001B1DA2" w:rsidP="001B1DA2">
      <w:pPr>
        <w:ind w:left="360" w:hanging="360"/>
        <w:jc w:val="both"/>
      </w:pPr>
      <w:r>
        <w:t>Franklin, J. (2010). Mapping Species Distributions: Spatial Inference and Prediction. Cambridge University Press.</w:t>
      </w:r>
    </w:p>
    <w:p w14:paraId="6D197EB7" w14:textId="08A9DF04" w:rsidR="001B1DA2" w:rsidRDefault="001B1DA2" w:rsidP="001B1DA2">
      <w:pPr>
        <w:ind w:left="360" w:hanging="360"/>
        <w:jc w:val="both"/>
      </w:pPr>
      <w:proofErr w:type="spellStart"/>
      <w:r>
        <w:t>Haq</w:t>
      </w:r>
      <w:proofErr w:type="spellEnd"/>
      <w:r>
        <w:t xml:space="preserve">, S. M., Khoja, A. A., Lone, F. A., </w:t>
      </w:r>
      <w:proofErr w:type="spellStart"/>
      <w:r>
        <w:t>Waheed</w:t>
      </w:r>
      <w:proofErr w:type="spellEnd"/>
      <w:r>
        <w:t xml:space="preserve">, M., </w:t>
      </w:r>
      <w:proofErr w:type="spellStart"/>
      <w:r>
        <w:t>Bussmann</w:t>
      </w:r>
      <w:proofErr w:type="spellEnd"/>
      <w:r>
        <w:t xml:space="preserve">, R. W., Mahmoud, E. A., &amp; </w:t>
      </w:r>
      <w:proofErr w:type="spellStart"/>
      <w:r>
        <w:t>Elansary</w:t>
      </w:r>
      <w:proofErr w:type="spellEnd"/>
      <w:r>
        <w:t xml:space="preserve">, H. O. (2023). Floristic composition, life history traits and </w:t>
      </w:r>
      <w:proofErr w:type="spellStart"/>
      <w:r>
        <w:t>phytogeographic</w:t>
      </w:r>
      <w:proofErr w:type="spellEnd"/>
      <w:r>
        <w:t xml:space="preserve"> distribution of forest vegetation in the Western Himalaya. Frontiers in Forests and Global Change, 6, 1169085. https://doi.org/10.3389/ffgc.2023.1169085 </w:t>
      </w:r>
    </w:p>
    <w:p w14:paraId="061F30BD" w14:textId="06831821" w:rsidR="001B1DA2" w:rsidRDefault="001B1DA2" w:rsidP="001B1DA2">
      <w:pPr>
        <w:ind w:left="360" w:hanging="360"/>
        <w:jc w:val="both"/>
      </w:pPr>
      <w:proofErr w:type="spellStart"/>
      <w:r>
        <w:t>Hengl</w:t>
      </w:r>
      <w:proofErr w:type="spellEnd"/>
      <w:r>
        <w:t xml:space="preserve">, T., de Jesus, J. M., </w:t>
      </w:r>
      <w:proofErr w:type="spellStart"/>
      <w:r>
        <w:t>Heuvelink</w:t>
      </w:r>
      <w:proofErr w:type="spellEnd"/>
      <w:r>
        <w:t xml:space="preserve">, G. B. M., et al. (2017). SoilGrids250m: global gridded soil information based on machine learning. </w:t>
      </w:r>
      <w:proofErr w:type="spellStart"/>
      <w:r>
        <w:t>PLoS</w:t>
      </w:r>
      <w:proofErr w:type="spellEnd"/>
      <w:r>
        <w:t xml:space="preserve"> ONE, 12(2), e0169748. https://doi.org/10.1371/journal.pone.0169748 </w:t>
      </w:r>
    </w:p>
    <w:p w14:paraId="759D78AE" w14:textId="14184394" w:rsidR="001B1DA2" w:rsidRDefault="001B1DA2" w:rsidP="001B1DA2">
      <w:pPr>
        <w:ind w:left="360" w:hanging="360"/>
        <w:jc w:val="both"/>
      </w:pPr>
      <w:proofErr w:type="spellStart"/>
      <w:r>
        <w:t>Jolliffe</w:t>
      </w:r>
      <w:proofErr w:type="spellEnd"/>
      <w:r>
        <w:t xml:space="preserve">, I. T., </w:t>
      </w:r>
      <w:proofErr w:type="spellStart"/>
      <w:r>
        <w:t>Cadima</w:t>
      </w:r>
      <w:proofErr w:type="spellEnd"/>
      <w:r>
        <w:t xml:space="preserve">, J. (2016). Principal component analysis: a review and recent developments. Philosophical Transactions of the Royal Society A: Mathematical, Physical and Engineering Sciences, 374(2065), 20150202. https://doi.org/10.1098/rsta.2015.0202 </w:t>
      </w:r>
    </w:p>
    <w:p w14:paraId="352BA9FE" w14:textId="5F3921F8" w:rsidR="001B1DA2" w:rsidRDefault="001B1DA2" w:rsidP="001B1DA2">
      <w:pPr>
        <w:ind w:left="360" w:hanging="360"/>
        <w:jc w:val="both"/>
      </w:pPr>
      <w:proofErr w:type="spellStart"/>
      <w:r>
        <w:t>Kamelin</w:t>
      </w:r>
      <w:proofErr w:type="spellEnd"/>
      <w:r>
        <w:t xml:space="preserve">, R. V. (1973). </w:t>
      </w:r>
      <w:proofErr w:type="spellStart"/>
      <w:r>
        <w:t>Florogeneticheskiy</w:t>
      </w:r>
      <w:proofErr w:type="spellEnd"/>
      <w:r>
        <w:t xml:space="preserve"> </w:t>
      </w:r>
      <w:proofErr w:type="spellStart"/>
      <w:r>
        <w:t>analiz</w:t>
      </w:r>
      <w:proofErr w:type="spellEnd"/>
      <w:r>
        <w:t xml:space="preserve"> </w:t>
      </w:r>
      <w:proofErr w:type="spellStart"/>
      <w:r>
        <w:t>estestvennoy</w:t>
      </w:r>
      <w:proofErr w:type="spellEnd"/>
      <w:r>
        <w:t xml:space="preserve"> </w:t>
      </w:r>
      <w:proofErr w:type="spellStart"/>
      <w:r>
        <w:t>flory</w:t>
      </w:r>
      <w:proofErr w:type="spellEnd"/>
      <w:r>
        <w:t xml:space="preserve"> </w:t>
      </w:r>
      <w:proofErr w:type="spellStart"/>
      <w:r>
        <w:t>gornoy</w:t>
      </w:r>
      <w:proofErr w:type="spellEnd"/>
      <w:r>
        <w:t xml:space="preserve"> </w:t>
      </w:r>
      <w:proofErr w:type="spellStart"/>
      <w:r>
        <w:t>Sredney</w:t>
      </w:r>
      <w:proofErr w:type="spellEnd"/>
      <w:r>
        <w:t xml:space="preserve"> </w:t>
      </w:r>
      <w:proofErr w:type="spellStart"/>
      <w:r>
        <w:t>Azii</w:t>
      </w:r>
      <w:proofErr w:type="spellEnd"/>
      <w:r>
        <w:t>.</w:t>
      </w:r>
    </w:p>
    <w:p w14:paraId="672535A3" w14:textId="35569AAD" w:rsidR="001B1DA2" w:rsidRDefault="001B1DA2" w:rsidP="001B1DA2">
      <w:pPr>
        <w:ind w:left="360" w:hanging="360"/>
        <w:jc w:val="both"/>
      </w:pPr>
      <w:proofErr w:type="spellStart"/>
      <w:r>
        <w:t>Kamelin</w:t>
      </w:r>
      <w:proofErr w:type="spellEnd"/>
      <w:r>
        <w:t xml:space="preserve">, R. V. (2017). Flora </w:t>
      </w:r>
      <w:proofErr w:type="spellStart"/>
      <w:r>
        <w:t>pestrotsvetnykh</w:t>
      </w:r>
      <w:proofErr w:type="spellEnd"/>
      <w:r>
        <w:t xml:space="preserve"> </w:t>
      </w:r>
      <w:proofErr w:type="spellStart"/>
      <w:r>
        <w:t>obnazheniy</w:t>
      </w:r>
      <w:proofErr w:type="spellEnd"/>
      <w:r>
        <w:t xml:space="preserve"> </w:t>
      </w:r>
      <w:proofErr w:type="spellStart"/>
      <w:r>
        <w:t>Sredney</w:t>
      </w:r>
      <w:proofErr w:type="spellEnd"/>
      <w:r>
        <w:t xml:space="preserve"> </w:t>
      </w:r>
      <w:proofErr w:type="spellStart"/>
      <w:r>
        <w:t>Azii</w:t>
      </w:r>
      <w:proofErr w:type="spellEnd"/>
      <w:r>
        <w:t xml:space="preserve">. </w:t>
      </w:r>
      <w:proofErr w:type="spellStart"/>
      <w:r>
        <w:t>Turczaninowia</w:t>
      </w:r>
      <w:proofErr w:type="spellEnd"/>
      <w:r>
        <w:t>, 20(4), 125–151.</w:t>
      </w:r>
    </w:p>
    <w:p w14:paraId="1987892E" w14:textId="0D4A84E0" w:rsidR="001B1DA2" w:rsidRDefault="001B1DA2" w:rsidP="001B1DA2">
      <w:pPr>
        <w:ind w:left="360" w:hanging="360"/>
        <w:jc w:val="both"/>
      </w:pPr>
      <w:proofErr w:type="spellStart"/>
      <w:r>
        <w:t>Kamelin</w:t>
      </w:r>
      <w:proofErr w:type="spellEnd"/>
      <w:r>
        <w:t xml:space="preserve">, R. V. (2017). </w:t>
      </w:r>
      <w:proofErr w:type="spellStart"/>
      <w:r>
        <w:t>Istoriya</w:t>
      </w:r>
      <w:proofErr w:type="spellEnd"/>
      <w:r>
        <w:t xml:space="preserve"> </w:t>
      </w:r>
      <w:proofErr w:type="spellStart"/>
      <w:r>
        <w:t>flory</w:t>
      </w:r>
      <w:proofErr w:type="spellEnd"/>
      <w:r>
        <w:t xml:space="preserve"> </w:t>
      </w:r>
      <w:proofErr w:type="spellStart"/>
      <w:r>
        <w:t>Seredinnoy</w:t>
      </w:r>
      <w:proofErr w:type="spellEnd"/>
      <w:r>
        <w:t xml:space="preserve"> </w:t>
      </w:r>
      <w:proofErr w:type="spellStart"/>
      <w:r>
        <w:t>Evrazii</w:t>
      </w:r>
      <w:proofErr w:type="spellEnd"/>
      <w:r>
        <w:t xml:space="preserve">. </w:t>
      </w:r>
      <w:proofErr w:type="spellStart"/>
      <w:r>
        <w:t>Turczaninowia</w:t>
      </w:r>
      <w:proofErr w:type="spellEnd"/>
      <w:r>
        <w:t>, 20(1), 5–29.</w:t>
      </w:r>
    </w:p>
    <w:p w14:paraId="7FA670D0" w14:textId="326FBC28" w:rsidR="001B1DA2" w:rsidRDefault="001B1DA2" w:rsidP="001B1DA2">
      <w:pPr>
        <w:ind w:left="360" w:hanging="360"/>
        <w:jc w:val="both"/>
      </w:pPr>
      <w:r>
        <w:t xml:space="preserve">Khan, I., Khan, W. M., Khalid, S., Hayat, K., &amp; Din, S. H. A. S. (2025). Floristic diversity and ecological attributes of the vegetation in </w:t>
      </w:r>
      <w:proofErr w:type="spellStart"/>
      <w:r>
        <w:t>Behram</w:t>
      </w:r>
      <w:proofErr w:type="spellEnd"/>
      <w:r>
        <w:t xml:space="preserve"> Khel, </w:t>
      </w:r>
      <w:proofErr w:type="spellStart"/>
      <w:r>
        <w:t>Lakki</w:t>
      </w:r>
      <w:proofErr w:type="spellEnd"/>
      <w:r>
        <w:t xml:space="preserve"> </w:t>
      </w:r>
      <w:proofErr w:type="spellStart"/>
      <w:r>
        <w:t>Marwat</w:t>
      </w:r>
      <w:proofErr w:type="spellEnd"/>
      <w:r>
        <w:t xml:space="preserve">, Khyber Pakhtunkhwa, Pakistan. Pure and Applied Biology (PAB), 14(4). http://doi.org/10.19045/bspab.2025.140099 </w:t>
      </w:r>
    </w:p>
    <w:p w14:paraId="2F42EA3A" w14:textId="36E2BD0A" w:rsidR="001B1DA2" w:rsidRDefault="001B1DA2" w:rsidP="001B1DA2">
      <w:pPr>
        <w:ind w:left="360" w:hanging="360"/>
        <w:jc w:val="both"/>
      </w:pPr>
      <w:proofErr w:type="spellStart"/>
      <w:r>
        <w:t>Körner</w:t>
      </w:r>
      <w:proofErr w:type="spellEnd"/>
      <w:r>
        <w:t xml:space="preserve">, C. (2007). The use of altitude in ecological research. Trends in Ecology &amp; Evolution, 22(11), 569–574. https://doi.org/10.1016/j.tree.2007.09.006 </w:t>
      </w:r>
    </w:p>
    <w:p w14:paraId="352086EB" w14:textId="008E240A" w:rsidR="001B1DA2" w:rsidRDefault="001B1DA2" w:rsidP="001B1DA2">
      <w:pPr>
        <w:ind w:left="360" w:hanging="360"/>
        <w:jc w:val="both"/>
      </w:pPr>
      <w:proofErr w:type="spellStart"/>
      <w:r>
        <w:lastRenderedPageBreak/>
        <w:t>Krasovskaya</w:t>
      </w:r>
      <w:proofErr w:type="spellEnd"/>
      <w:r>
        <w:t xml:space="preserve">, L. S., </w:t>
      </w:r>
      <w:proofErr w:type="spellStart"/>
      <w:r>
        <w:t>Levichev</w:t>
      </w:r>
      <w:proofErr w:type="spellEnd"/>
      <w:r>
        <w:t xml:space="preserve">, I. G. (1986). Flora </w:t>
      </w:r>
      <w:proofErr w:type="spellStart"/>
      <w:r>
        <w:t>Chatkalskogo</w:t>
      </w:r>
      <w:proofErr w:type="spellEnd"/>
      <w:r>
        <w:t xml:space="preserve"> </w:t>
      </w:r>
      <w:proofErr w:type="spellStart"/>
      <w:r>
        <w:t>zapovednika</w:t>
      </w:r>
      <w:proofErr w:type="spellEnd"/>
      <w:r>
        <w:t>. Tashkent: Fan.</w:t>
      </w:r>
    </w:p>
    <w:p w14:paraId="3BE4A2AA" w14:textId="776BCBE9" w:rsidR="001B1DA2" w:rsidRDefault="001B1DA2" w:rsidP="001B1DA2">
      <w:pPr>
        <w:ind w:left="360" w:hanging="360"/>
        <w:jc w:val="both"/>
      </w:pPr>
      <w:r>
        <w:t>Legendre, P., Legendre, L. (2012). Numerical ecology (Vol. 24). Elsevier.</w:t>
      </w:r>
    </w:p>
    <w:p w14:paraId="4D411D90" w14:textId="183CDF1F" w:rsidR="001B1DA2" w:rsidRDefault="001B1DA2" w:rsidP="001B1DA2">
      <w:pPr>
        <w:ind w:left="360" w:hanging="360"/>
        <w:jc w:val="both"/>
      </w:pPr>
      <w:r>
        <w:t>Linder, H. P., Lehmann, C. E. R., Archibald, S., Osborne, C. P., Richardson, D. M. (2018). Global grass (</w:t>
      </w:r>
      <w:proofErr w:type="spellStart"/>
      <w:r>
        <w:t>Poaceae</w:t>
      </w:r>
      <w:proofErr w:type="spellEnd"/>
      <w:r>
        <w:t xml:space="preserve">) success underpinned by traits facilitating colonization, persistence and habitat transformation. Biological Reviews, 93(2), 1125–1144. https://doi.org/10.1111/brv.12388 </w:t>
      </w:r>
    </w:p>
    <w:p w14:paraId="5617F3EE" w14:textId="74B80CF4" w:rsidR="001B1DA2" w:rsidRDefault="001B1DA2" w:rsidP="001B1DA2">
      <w:pPr>
        <w:ind w:left="360" w:hanging="360"/>
        <w:jc w:val="both"/>
      </w:pPr>
      <w:r>
        <w:t xml:space="preserve">Ma, S., Li, W., </w:t>
      </w:r>
      <w:proofErr w:type="spellStart"/>
      <w:r>
        <w:t>Tojibaev</w:t>
      </w:r>
      <w:proofErr w:type="spellEnd"/>
      <w:r>
        <w:t xml:space="preserve">, K. S., </w:t>
      </w:r>
      <w:proofErr w:type="spellStart"/>
      <w:r>
        <w:t>Turginov</w:t>
      </w:r>
      <w:proofErr w:type="spellEnd"/>
      <w:r>
        <w:t xml:space="preserve">, O., Yang, W., Ma, K. (2024). </w:t>
      </w:r>
      <w:proofErr w:type="spellStart"/>
      <w:r>
        <w:t>Regionwide</w:t>
      </w:r>
      <w:proofErr w:type="spellEnd"/>
      <w:r>
        <w:t xml:space="preserve"> and nationwide floristic richness reveal vascular plant diversity in Central Asia. Plants, 13(16), 2275. https://doi.org/10.3390/plants13162275 </w:t>
      </w:r>
    </w:p>
    <w:p w14:paraId="6FF5CA66" w14:textId="2EC61FD7" w:rsidR="001B1DA2" w:rsidRDefault="001B1DA2" w:rsidP="001B1DA2">
      <w:pPr>
        <w:ind w:left="360" w:hanging="360"/>
        <w:jc w:val="both"/>
      </w:pPr>
      <w:r>
        <w:t xml:space="preserve">Mandel, J. R., </w:t>
      </w:r>
      <w:proofErr w:type="spellStart"/>
      <w:r>
        <w:t>Dikow</w:t>
      </w:r>
      <w:proofErr w:type="spellEnd"/>
      <w:r>
        <w:t xml:space="preserve">, R. B., </w:t>
      </w:r>
      <w:proofErr w:type="spellStart"/>
      <w:r>
        <w:t>Siniscalchi</w:t>
      </w:r>
      <w:proofErr w:type="spellEnd"/>
      <w:r>
        <w:t xml:space="preserve">, C. M., </w:t>
      </w:r>
      <w:proofErr w:type="spellStart"/>
      <w:r>
        <w:t>Thapa</w:t>
      </w:r>
      <w:proofErr w:type="spellEnd"/>
      <w:r>
        <w:t xml:space="preserve">, R., Watson, L. E., Funk, V. A. (2019). A fully resolved backbone phylogeny reveals numerous dispersals and explosive diversifications throughout the history of </w:t>
      </w:r>
      <w:proofErr w:type="spellStart"/>
      <w:r>
        <w:t>Asteraceae</w:t>
      </w:r>
      <w:proofErr w:type="spellEnd"/>
      <w:r>
        <w:t xml:space="preserve">. Proceedings of the National Academy of Sciences, 116(28), 14083–14088. https://doi.org/10.1073/pnas.1903871116 </w:t>
      </w:r>
    </w:p>
    <w:p w14:paraId="43629C32" w14:textId="6527B480" w:rsidR="001B1DA2" w:rsidRDefault="001B1DA2" w:rsidP="001B1DA2">
      <w:pPr>
        <w:ind w:left="360" w:hanging="360"/>
        <w:jc w:val="both"/>
      </w:pPr>
      <w:r>
        <w:t xml:space="preserve">Meyer, L., </w:t>
      </w:r>
      <w:proofErr w:type="spellStart"/>
      <w:r>
        <w:t>Diniz-Filho</w:t>
      </w:r>
      <w:proofErr w:type="spellEnd"/>
      <w:r>
        <w:t xml:space="preserve">, J. A. F., </w:t>
      </w:r>
      <w:proofErr w:type="spellStart"/>
      <w:r>
        <w:t>Lohmann</w:t>
      </w:r>
      <w:proofErr w:type="spellEnd"/>
      <w:r>
        <w:t xml:space="preserve">, L. G. (2017). A comparison of hull methods for estimating species ranges and richness maps. Plant Ecology &amp; Diversity, 10(5–6), 389–401. https://doi.org/10.1080/17550874.2018.1425505 </w:t>
      </w:r>
    </w:p>
    <w:p w14:paraId="390F0ECB" w14:textId="4A74E1F1" w:rsidR="001B1DA2" w:rsidRDefault="001B1DA2" w:rsidP="001B1DA2">
      <w:pPr>
        <w:ind w:left="360" w:hanging="360"/>
        <w:jc w:val="both"/>
      </w:pPr>
      <w:r>
        <w:t xml:space="preserve">Morris, E. K., Caruso, T., </w:t>
      </w:r>
      <w:proofErr w:type="spellStart"/>
      <w:r>
        <w:t>Buscot</w:t>
      </w:r>
      <w:proofErr w:type="spellEnd"/>
      <w:r>
        <w:t xml:space="preserve">, F., Fischer, M., Hancock, C., Maier, T. S., </w:t>
      </w:r>
      <w:proofErr w:type="spellStart"/>
      <w:r>
        <w:t>Meiners</w:t>
      </w:r>
      <w:proofErr w:type="spellEnd"/>
      <w:r>
        <w:t xml:space="preserve">, T., Müller, C., </w:t>
      </w:r>
      <w:proofErr w:type="spellStart"/>
      <w:r>
        <w:t>Obermaier</w:t>
      </w:r>
      <w:proofErr w:type="spellEnd"/>
      <w:r>
        <w:t xml:space="preserve">, E., </w:t>
      </w:r>
      <w:proofErr w:type="spellStart"/>
      <w:r>
        <w:t>Prati</w:t>
      </w:r>
      <w:proofErr w:type="spellEnd"/>
      <w:r>
        <w:t xml:space="preserve">, D., </w:t>
      </w:r>
      <w:proofErr w:type="spellStart"/>
      <w:r>
        <w:t>Socher</w:t>
      </w:r>
      <w:proofErr w:type="spellEnd"/>
      <w:r>
        <w:t xml:space="preserve">, S. A., </w:t>
      </w:r>
      <w:proofErr w:type="spellStart"/>
      <w:r>
        <w:t>Sonnemann</w:t>
      </w:r>
      <w:proofErr w:type="spellEnd"/>
      <w:r>
        <w:t xml:space="preserve">, I., </w:t>
      </w:r>
      <w:proofErr w:type="spellStart"/>
      <w:r>
        <w:t>Wäschke</w:t>
      </w:r>
      <w:proofErr w:type="spellEnd"/>
      <w:r>
        <w:t xml:space="preserve">, N., </w:t>
      </w:r>
      <w:proofErr w:type="spellStart"/>
      <w:r>
        <w:t>Wubet</w:t>
      </w:r>
      <w:proofErr w:type="spellEnd"/>
      <w:r>
        <w:t xml:space="preserve">, T., </w:t>
      </w:r>
      <w:proofErr w:type="spellStart"/>
      <w:r>
        <w:t>Wurst</w:t>
      </w:r>
      <w:proofErr w:type="spellEnd"/>
      <w:r>
        <w:t xml:space="preserve">, S., </w:t>
      </w:r>
      <w:proofErr w:type="spellStart"/>
      <w:r>
        <w:t>Rillig</w:t>
      </w:r>
      <w:proofErr w:type="spellEnd"/>
      <w:r>
        <w:t xml:space="preserve">, M. C. (2014). Choosing and using diversity indices. Ecology and Evolution, 4(18), 3514–3524. https://doi.org/10.1002/ece3.1155 </w:t>
      </w:r>
    </w:p>
    <w:p w14:paraId="11B7596A" w14:textId="083D578C" w:rsidR="001B1DA2" w:rsidRDefault="001B1DA2" w:rsidP="001B1DA2">
      <w:pPr>
        <w:ind w:left="360" w:hanging="360"/>
        <w:jc w:val="both"/>
      </w:pPr>
      <w:proofErr w:type="spellStart"/>
      <w:r>
        <w:t>Mouillot</w:t>
      </w:r>
      <w:proofErr w:type="spellEnd"/>
      <w:r>
        <w:t xml:space="preserve">, D., Graham, N. A. J., </w:t>
      </w:r>
      <w:proofErr w:type="spellStart"/>
      <w:r>
        <w:t>Villéger</w:t>
      </w:r>
      <w:proofErr w:type="spellEnd"/>
      <w:r>
        <w:t xml:space="preserve">, S., Mason, N. W. H., Bellwood, D. R. (2013). A functional approach reveals community responses to disturbances. Trends in Ecology &amp; Evolution, 28(3), 167–177. https://doi.org/10.1016/j.tree.2012.10.004 </w:t>
      </w:r>
    </w:p>
    <w:p w14:paraId="41EDFEEA" w14:textId="35995B50" w:rsidR="001B1DA2" w:rsidRDefault="001B1DA2" w:rsidP="001B1DA2">
      <w:pPr>
        <w:ind w:left="360" w:hanging="360"/>
        <w:jc w:val="both"/>
      </w:pPr>
      <w:r>
        <w:lastRenderedPageBreak/>
        <w:t>R Core Team (2024). R: A language and environment for statistical computing. R Foundation for Statistical Computing.</w:t>
      </w:r>
    </w:p>
    <w:p w14:paraId="625934D1" w14:textId="32D5B562" w:rsidR="001B1DA2" w:rsidRDefault="001B1DA2" w:rsidP="001B1DA2">
      <w:pPr>
        <w:ind w:left="360" w:hanging="360"/>
        <w:jc w:val="both"/>
      </w:pPr>
      <w:r>
        <w:t xml:space="preserve">Siddiqui, S. (2025). Global patterns and drivers of species and genera richness of </w:t>
      </w:r>
      <w:proofErr w:type="spellStart"/>
      <w:r>
        <w:t>Fabaceae</w:t>
      </w:r>
      <w:proofErr w:type="spellEnd"/>
      <w:r>
        <w:t xml:space="preserve">. Frontiers in Plant Science, 16, 1581814. https://doi.org/10.3389/fpls.2025.1581814 </w:t>
      </w:r>
    </w:p>
    <w:p w14:paraId="134C1FA7" w14:textId="3E164C4F" w:rsidR="001B1DA2" w:rsidRDefault="001B1DA2" w:rsidP="001B1DA2">
      <w:pPr>
        <w:ind w:left="360" w:hanging="360"/>
        <w:jc w:val="both"/>
      </w:pPr>
      <w:proofErr w:type="spellStart"/>
      <w:r>
        <w:t>Slatyer</w:t>
      </w:r>
      <w:proofErr w:type="spellEnd"/>
      <w:r>
        <w:t xml:space="preserve">, R. A., </w:t>
      </w:r>
      <w:proofErr w:type="spellStart"/>
      <w:r>
        <w:t>Hirst</w:t>
      </w:r>
      <w:proofErr w:type="spellEnd"/>
      <w:r>
        <w:t xml:space="preserve">, M., Sexton, J. P. (2013). Niche breadth predicts geographical range size. Ecology Letters, 16(8), 1104–1114. https://doi.org/10.1111/ele.12140 </w:t>
      </w:r>
    </w:p>
    <w:p w14:paraId="6A670875" w14:textId="0F259D75" w:rsidR="001B1DA2" w:rsidRDefault="001B1DA2" w:rsidP="001B1DA2">
      <w:pPr>
        <w:ind w:left="360" w:hanging="360"/>
        <w:jc w:val="both"/>
      </w:pPr>
      <w:proofErr w:type="spellStart"/>
      <w:r>
        <w:t>Tackenberg</w:t>
      </w:r>
      <w:proofErr w:type="spellEnd"/>
      <w:r>
        <w:t xml:space="preserve">, O., </w:t>
      </w:r>
      <w:proofErr w:type="spellStart"/>
      <w:r>
        <w:t>Poschlod</w:t>
      </w:r>
      <w:proofErr w:type="spellEnd"/>
      <w:r>
        <w:t xml:space="preserve">, P., Bonn, S. (2003). Assessment of wind dispersal potential in plant species. Ecological Monographs, 73(2), 191–205. https://doi.org/10.1890/0012-9615(2003)073[0191:AOWDPI]2.0.CO;2 </w:t>
      </w:r>
    </w:p>
    <w:p w14:paraId="0DBC5297" w14:textId="4CB8135B" w:rsidR="001B1DA2" w:rsidRDefault="001B1DA2" w:rsidP="001B1DA2">
      <w:pPr>
        <w:ind w:left="360" w:hanging="360"/>
        <w:jc w:val="both"/>
      </w:pPr>
      <w:r>
        <w:t xml:space="preserve">Thiers, B. (continuously updated). Index </w:t>
      </w:r>
      <w:proofErr w:type="spellStart"/>
      <w:r>
        <w:t>Herbariorum</w:t>
      </w:r>
      <w:proofErr w:type="spellEnd"/>
      <w:r>
        <w:t>: A global directory of public herbaria and associated staff. New York Botanical Garden’s Virtual Herbarium. Available at: http://sweetgum.nybg.org/science/ih/</w:t>
      </w:r>
    </w:p>
    <w:p w14:paraId="0CB9156B" w14:textId="743F3698" w:rsidR="001B1DA2" w:rsidRDefault="001B1DA2" w:rsidP="001B1DA2">
      <w:pPr>
        <w:ind w:left="360" w:hanging="360"/>
        <w:jc w:val="both"/>
      </w:pPr>
      <w:proofErr w:type="spellStart"/>
      <w:r>
        <w:t>Tolmachev</w:t>
      </w:r>
      <w:proofErr w:type="spellEnd"/>
      <w:r>
        <w:t xml:space="preserve">, A. I. (1986). </w:t>
      </w:r>
      <w:proofErr w:type="spellStart"/>
      <w:r>
        <w:t>Problemy</w:t>
      </w:r>
      <w:proofErr w:type="spellEnd"/>
      <w:r>
        <w:t xml:space="preserve"> </w:t>
      </w:r>
      <w:proofErr w:type="spellStart"/>
      <w:r>
        <w:t>florogeneza</w:t>
      </w:r>
      <w:proofErr w:type="spellEnd"/>
      <w:r>
        <w:t xml:space="preserve">. Novosibirsk: </w:t>
      </w:r>
      <w:proofErr w:type="spellStart"/>
      <w:r>
        <w:t>Nauka</w:t>
      </w:r>
      <w:proofErr w:type="spellEnd"/>
      <w:r>
        <w:t>.</w:t>
      </w:r>
    </w:p>
    <w:p w14:paraId="337763F1" w14:textId="6E09C932" w:rsidR="001B1DA2" w:rsidRDefault="001B1DA2" w:rsidP="001B1DA2">
      <w:pPr>
        <w:ind w:left="360" w:hanging="360"/>
        <w:jc w:val="both"/>
      </w:pPr>
      <w:proofErr w:type="spellStart"/>
      <w:r>
        <w:t>Vitousek</w:t>
      </w:r>
      <w:proofErr w:type="spellEnd"/>
      <w:r>
        <w:t xml:space="preserve">, P. M., </w:t>
      </w:r>
      <w:proofErr w:type="spellStart"/>
      <w:r>
        <w:t>Menge</w:t>
      </w:r>
      <w:proofErr w:type="spellEnd"/>
      <w:r>
        <w:t xml:space="preserve">, D. N. L., Reed, S. C., Cleveland, C. C. (2013). Biological nitrogen fixation: Rates, patterns and ecological controls in terrestrial ecosystems. Philosophical Transactions of the Royal Society B, 368(1621), 20130119. https://doi.org/10.1098/rstb.2013.0119 </w:t>
      </w:r>
    </w:p>
    <w:p w14:paraId="6D228600" w14:textId="4AADA186" w:rsidR="009F2248" w:rsidRDefault="001B1DA2" w:rsidP="001B1DA2">
      <w:pPr>
        <w:ind w:left="360" w:hanging="360"/>
        <w:jc w:val="both"/>
        <w:rPr>
          <w:sz w:val="22"/>
          <w:szCs w:val="22"/>
        </w:rPr>
      </w:pPr>
      <w:proofErr w:type="spellStart"/>
      <w:r>
        <w:t>Zakirov</w:t>
      </w:r>
      <w:proofErr w:type="spellEnd"/>
      <w:r>
        <w:t xml:space="preserve">, K. Z. (1976). </w:t>
      </w:r>
      <w:proofErr w:type="spellStart"/>
      <w:r>
        <w:t>Rastitelnyy</w:t>
      </w:r>
      <w:proofErr w:type="spellEnd"/>
      <w:r>
        <w:t xml:space="preserve"> </w:t>
      </w:r>
      <w:proofErr w:type="spellStart"/>
      <w:r>
        <w:t>pokrov</w:t>
      </w:r>
      <w:proofErr w:type="spellEnd"/>
      <w:r>
        <w:t xml:space="preserve"> </w:t>
      </w:r>
      <w:proofErr w:type="spellStart"/>
      <w:r>
        <w:t>Uzbekistana</w:t>
      </w:r>
      <w:proofErr w:type="spellEnd"/>
      <w:r>
        <w:t xml:space="preserve"> </w:t>
      </w:r>
      <w:proofErr w:type="spellStart"/>
      <w:r>
        <w:t>i</w:t>
      </w:r>
      <w:proofErr w:type="spellEnd"/>
      <w:r>
        <w:t xml:space="preserve"> </w:t>
      </w:r>
      <w:proofErr w:type="spellStart"/>
      <w:r>
        <w:t>puti</w:t>
      </w:r>
      <w:proofErr w:type="spellEnd"/>
      <w:r>
        <w:t xml:space="preserve"> ego </w:t>
      </w:r>
      <w:proofErr w:type="spellStart"/>
      <w:r>
        <w:t>ratsionalnogo</w:t>
      </w:r>
      <w:proofErr w:type="spellEnd"/>
      <w:r>
        <w:t xml:space="preserve"> </w:t>
      </w:r>
      <w:proofErr w:type="spellStart"/>
      <w:r>
        <w:t>ispolzovaniya</w:t>
      </w:r>
      <w:proofErr w:type="spellEnd"/>
      <w:r>
        <w:t>.</w:t>
      </w:r>
    </w:p>
    <w:sectPr w:rsidR="009F2248" w:rsidSect="00BB1A53">
      <w:type w:val="continuous"/>
      <w:pgSz w:w="12240" w:h="15840"/>
      <w:pgMar w:top="1134" w:right="1134" w:bottom="1134" w:left="1134" w:header="284"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50837" w14:textId="77777777" w:rsidR="00D13CD5" w:rsidRDefault="00D13CD5">
      <w:r>
        <w:separator/>
      </w:r>
    </w:p>
  </w:endnote>
  <w:endnote w:type="continuationSeparator" w:id="0">
    <w:p w14:paraId="4817D2ED" w14:textId="77777777" w:rsidR="00D13CD5" w:rsidRDefault="00D1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alticaUzbek">
    <w:altName w:val="Times New Roman"/>
    <w:charset w:val="00"/>
    <w:family w:val="auto"/>
    <w:pitch w:val="default"/>
    <w:sig w:usb0="00000000" w:usb1="00000000" w:usb2="00000000" w:usb3="00000000" w:csb0="00000005" w:csb1="00000000"/>
  </w:font>
  <w:font w:name="PANDA Times UZ">
    <w:altName w:val="Segoe UI"/>
    <w:charset w:val="00"/>
    <w:family w:val="swiss"/>
    <w:pitch w:val="default"/>
    <w:sig w:usb0="00000000" w:usb1="00000000" w:usb2="00000000" w:usb3="00000000" w:csb0="00000005" w:csb1="00000000"/>
  </w:font>
  <w:font w:name="Dutch">
    <w:altName w:val="Courier New"/>
    <w:charset w:val="00"/>
    <w:family w:val="roman"/>
    <w:pitch w:val="default"/>
    <w:sig w:usb0="00000000" w:usb1="00000000" w:usb2="00000000" w:usb3="00000000" w:csb0="00000005"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F64D7" w14:textId="3BA30A52" w:rsidR="009F2248" w:rsidRDefault="009F2248">
    <w:pPr>
      <w:pStyle w:val="af2"/>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3331DE">
      <w:rPr>
        <w:rStyle w:val="afc"/>
        <w:noProof/>
      </w:rPr>
      <w:t>12</w:t>
    </w:r>
    <w:r>
      <w:rPr>
        <w:rStyle w:val="afc"/>
      </w:rPr>
      <w:fldChar w:fldCharType="end"/>
    </w:r>
  </w:p>
  <w:p w14:paraId="358C6904" w14:textId="6946B08B" w:rsidR="009F2248" w:rsidRDefault="009F2248">
    <w:pPr>
      <w:pStyle w:val="af2"/>
      <w:ind w:right="360"/>
    </w:pPr>
    <w:r>
      <w:rPr>
        <w:sz w:val="14"/>
        <w:szCs w:val="16"/>
      </w:rPr>
      <w:t>Pl</w:t>
    </w:r>
    <w:r w:rsidR="00BB1A53">
      <w:rPr>
        <w:sz w:val="14"/>
        <w:szCs w:val="16"/>
      </w:rPr>
      <w:t>ant Diversity of Central Asia. 5</w:t>
    </w:r>
    <w:r>
      <w:rPr>
        <w:sz w:val="14"/>
        <w:szCs w:val="16"/>
      </w:rPr>
      <w:t xml:space="preserve">  (2026) </w:t>
    </w:r>
    <w:r w:rsidR="00BB1A53">
      <w:rPr>
        <w:sz w:val="14"/>
        <w:szCs w:val="16"/>
      </w:rPr>
      <w:t>1-14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93765" w14:textId="55EEC262" w:rsidR="009F2248" w:rsidRDefault="009F2248">
    <w:pPr>
      <w:pStyle w:val="af2"/>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3331DE">
      <w:rPr>
        <w:rStyle w:val="afc"/>
        <w:noProof/>
      </w:rPr>
      <w:t>13</w:t>
    </w:r>
    <w:r>
      <w:rPr>
        <w:rStyle w:val="afc"/>
      </w:rPr>
      <w:fldChar w:fldCharType="end"/>
    </w:r>
  </w:p>
  <w:p w14:paraId="773F21A3" w14:textId="4B3C05A5" w:rsidR="009F2248" w:rsidRDefault="009F2248">
    <w:pPr>
      <w:pStyle w:val="af2"/>
      <w:ind w:right="360"/>
    </w:pPr>
    <w:r>
      <w:rPr>
        <w:sz w:val="14"/>
        <w:szCs w:val="16"/>
      </w:rPr>
      <w:t>Plant Diversity of Central Asia. 5 (</w:t>
    </w:r>
    <w:r w:rsidR="00BB1A53">
      <w:rPr>
        <w:sz w:val="14"/>
        <w:szCs w:val="16"/>
      </w:rPr>
      <w:t>2026</w:t>
    </w:r>
    <w:r>
      <w:rPr>
        <w:sz w:val="14"/>
        <w:szCs w:val="16"/>
      </w:rPr>
      <w:t>) 1–</w:t>
    </w:r>
    <w:r w:rsidR="00BB1A53">
      <w:rPr>
        <w:sz w:val="14"/>
        <w:szCs w:val="16"/>
      </w:rPr>
      <w:t>14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7857A" w14:textId="77777777" w:rsidR="009F2248" w:rsidRDefault="009F2248">
    <w:pPr>
      <w:pStyle w:val="af2"/>
      <w:spacing w:line="360" w:lineRule="auto"/>
      <w:rPr>
        <w:sz w:val="14"/>
        <w:szCs w:val="16"/>
      </w:rPr>
    </w:pPr>
    <w:proofErr w:type="spellStart"/>
    <w:r>
      <w:rPr>
        <w:sz w:val="14"/>
        <w:szCs w:val="16"/>
      </w:rPr>
      <w:t>doi</w:t>
    </w:r>
    <w:proofErr w:type="spellEnd"/>
    <w:r w:rsidRPr="00BB1A53">
      <w:rPr>
        <w:sz w:val="14"/>
        <w:szCs w:val="16"/>
      </w:rPr>
      <w:t>:.............................................</w:t>
    </w:r>
  </w:p>
  <w:p w14:paraId="16A87F4D" w14:textId="5C264B73" w:rsidR="009F2248" w:rsidRDefault="009F2248">
    <w:pPr>
      <w:pStyle w:val="af2"/>
      <w:spacing w:line="360" w:lineRule="auto"/>
      <w:rPr>
        <w:sz w:val="14"/>
        <w:szCs w:val="16"/>
      </w:rPr>
    </w:pPr>
    <w:r>
      <w:rPr>
        <w:sz w:val="14"/>
        <w:szCs w:val="16"/>
      </w:rPr>
      <w:t xml:space="preserve">Received: </w:t>
    </w:r>
    <w:r w:rsidR="00BB1A53">
      <w:rPr>
        <w:sz w:val="14"/>
        <w:szCs w:val="16"/>
      </w:rPr>
      <w:t>13</w:t>
    </w:r>
    <w:r>
      <w:rPr>
        <w:sz w:val="14"/>
        <w:szCs w:val="16"/>
      </w:rPr>
      <w:t xml:space="preserve"> </w:t>
    </w:r>
    <w:r w:rsidR="00BB1A53">
      <w:rPr>
        <w:sz w:val="14"/>
        <w:szCs w:val="16"/>
      </w:rPr>
      <w:t>April</w:t>
    </w:r>
    <w:r>
      <w:rPr>
        <w:sz w:val="14"/>
        <w:szCs w:val="16"/>
      </w:rPr>
      <w:t xml:space="preserve"> </w:t>
    </w:r>
    <w:r w:rsidR="00BB1A53">
      <w:rPr>
        <w:sz w:val="14"/>
        <w:szCs w:val="16"/>
      </w:rPr>
      <w:t>2026</w:t>
    </w:r>
    <w:r>
      <w:rPr>
        <w:sz w:val="14"/>
        <w:szCs w:val="16"/>
      </w:rPr>
      <w:t xml:space="preserve">; Accepted: </w:t>
    </w:r>
    <w:r w:rsidR="00BB1A53">
      <w:rPr>
        <w:sz w:val="14"/>
        <w:szCs w:val="16"/>
      </w:rPr>
      <w:t>5</w:t>
    </w:r>
    <w:r>
      <w:rPr>
        <w:sz w:val="14"/>
        <w:szCs w:val="16"/>
      </w:rPr>
      <w:t xml:space="preserve"> October 2025   Editor: K. </w:t>
    </w:r>
    <w:proofErr w:type="spellStart"/>
    <w:r>
      <w:rPr>
        <w:sz w:val="14"/>
        <w:szCs w:val="16"/>
      </w:rPr>
      <w:t>Tojibaev</w:t>
    </w:r>
    <w:proofErr w:type="spellEnd"/>
  </w:p>
  <w:p w14:paraId="592868B0" w14:textId="5203EF49" w:rsidR="009F2248" w:rsidRDefault="009F2248">
    <w:pPr>
      <w:pStyle w:val="af2"/>
      <w:tabs>
        <w:tab w:val="clear" w:pos="8640"/>
        <w:tab w:val="left" w:pos="4320"/>
      </w:tabs>
      <w:spacing w:line="360" w:lineRule="auto"/>
      <w:rPr>
        <w:sz w:val="16"/>
        <w:szCs w:val="16"/>
      </w:rPr>
    </w:pPr>
    <w:r>
      <w:rPr>
        <w:sz w:val="14"/>
        <w:szCs w:val="16"/>
      </w:rPr>
      <w:t>Plant Diversity of Central Asia. 5 (</w:t>
    </w:r>
    <w:r w:rsidR="00BB1A53">
      <w:rPr>
        <w:sz w:val="14"/>
        <w:szCs w:val="16"/>
      </w:rPr>
      <w:t>2026</w:t>
    </w:r>
    <w:r>
      <w:rPr>
        <w:sz w:val="14"/>
        <w:szCs w:val="16"/>
      </w:rPr>
      <w:t>) 1–</w:t>
    </w:r>
    <w:r w:rsidR="00BB1A53">
      <w:rPr>
        <w:sz w:val="14"/>
        <w:szCs w:val="16"/>
      </w:rPr>
      <w:t>14</w:t>
    </w:r>
    <w:r>
      <w:rPr>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C4976" w14:textId="77777777" w:rsidR="00D13CD5" w:rsidRDefault="00D13CD5">
      <w:r>
        <w:separator/>
      </w:r>
    </w:p>
  </w:footnote>
  <w:footnote w:type="continuationSeparator" w:id="0">
    <w:p w14:paraId="7C3F42E8" w14:textId="77777777" w:rsidR="00D13CD5" w:rsidRDefault="00D13C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DB22C" w14:textId="77777777" w:rsidR="00BB1A53" w:rsidRDefault="00BB1A53" w:rsidP="00BB1A53">
    <w:pPr>
      <w:pStyle w:val="af7"/>
      <w:rPr>
        <w:sz w:val="16"/>
        <w:szCs w:val="16"/>
      </w:rPr>
    </w:pPr>
    <w:proofErr w:type="spellStart"/>
    <w:r w:rsidRPr="00BB1A53">
      <w:rPr>
        <w:sz w:val="16"/>
        <w:szCs w:val="16"/>
      </w:rPr>
      <w:t>Sotiboldiyev</w:t>
    </w:r>
    <w:proofErr w:type="spellEnd"/>
    <w:r w:rsidRPr="00BB1A53">
      <w:rPr>
        <w:sz w:val="16"/>
        <w:szCs w:val="16"/>
      </w:rPr>
      <w:t xml:space="preserve"> </w:t>
    </w:r>
    <w:r w:rsidR="009F2248">
      <w:rPr>
        <w:sz w:val="16"/>
        <w:szCs w:val="16"/>
      </w:rPr>
      <w:t xml:space="preserve">et al.                                                                           </w:t>
    </w:r>
    <w:r>
      <w:rPr>
        <w:sz w:val="16"/>
        <w:szCs w:val="16"/>
      </w:rPr>
      <w:t xml:space="preserve">                     </w:t>
    </w:r>
    <w:r w:rsidR="009F2248">
      <w:rPr>
        <w:sz w:val="16"/>
        <w:szCs w:val="16"/>
      </w:rPr>
      <w:t xml:space="preserve">        </w:t>
    </w:r>
    <w:r w:rsidRPr="00BB1A53">
      <w:rPr>
        <w:sz w:val="16"/>
        <w:szCs w:val="16"/>
      </w:rPr>
      <w:t xml:space="preserve">Polymorph Stability Index (PSI) for Integrated Assessment of Floristic </w:t>
    </w:r>
    <w:r>
      <w:rPr>
        <w:sz w:val="16"/>
        <w:szCs w:val="16"/>
      </w:rPr>
      <w:t xml:space="preserve"> </w:t>
    </w:r>
  </w:p>
  <w:p w14:paraId="04BBF302" w14:textId="6884A398" w:rsidR="009F2248" w:rsidRDefault="00BB1A53" w:rsidP="00BB1A53">
    <w:pPr>
      <w:pStyle w:val="af7"/>
      <w:tabs>
        <w:tab w:val="left" w:pos="5310"/>
      </w:tabs>
    </w:pPr>
    <w:r>
      <w:rPr>
        <w:sz w:val="16"/>
        <w:szCs w:val="16"/>
      </w:rPr>
      <w:tab/>
    </w:r>
    <w:r>
      <w:rPr>
        <w:sz w:val="16"/>
        <w:szCs w:val="16"/>
      </w:rPr>
      <w:tab/>
    </w:r>
    <w:r w:rsidRPr="00BB1A53">
      <w:rPr>
        <w:sz w:val="16"/>
        <w:szCs w:val="16"/>
      </w:rPr>
      <w:t xml:space="preserve">Families in </w:t>
    </w:r>
    <w:proofErr w:type="spellStart"/>
    <w:r w:rsidRPr="00BB1A53">
      <w:rPr>
        <w:sz w:val="16"/>
        <w:szCs w:val="16"/>
      </w:rPr>
      <w:t>Surkhandarya</w:t>
    </w:r>
    <w:proofErr w:type="spellEnd"/>
    <w:r w:rsidRPr="00BB1A53">
      <w:rPr>
        <w:sz w:val="16"/>
        <w:szCs w:val="16"/>
      </w:rPr>
      <w:t xml:space="preserve"> (Central Asia)</w:t>
    </w:r>
  </w:p>
  <w:p w14:paraId="39663DD6" w14:textId="77777777" w:rsidR="009F2248" w:rsidRDefault="009F2248">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CCC8A" w14:textId="77777777" w:rsidR="00BB1A53" w:rsidRDefault="00BB1A53" w:rsidP="00BB1A53">
    <w:pPr>
      <w:pStyle w:val="af7"/>
      <w:rPr>
        <w:sz w:val="16"/>
        <w:szCs w:val="16"/>
      </w:rPr>
    </w:pPr>
    <w:proofErr w:type="spellStart"/>
    <w:r w:rsidRPr="00BB1A53">
      <w:rPr>
        <w:sz w:val="16"/>
        <w:szCs w:val="16"/>
      </w:rPr>
      <w:t>Sotiboldiyev</w:t>
    </w:r>
    <w:proofErr w:type="spellEnd"/>
    <w:r w:rsidRPr="00BB1A53">
      <w:rPr>
        <w:sz w:val="16"/>
        <w:szCs w:val="16"/>
      </w:rPr>
      <w:t xml:space="preserve"> </w:t>
    </w:r>
    <w:r>
      <w:rPr>
        <w:sz w:val="16"/>
        <w:szCs w:val="16"/>
      </w:rPr>
      <w:t xml:space="preserve">et al.                                                                                                        </w:t>
    </w:r>
    <w:r w:rsidRPr="00BB1A53">
      <w:rPr>
        <w:sz w:val="16"/>
        <w:szCs w:val="16"/>
      </w:rPr>
      <w:t xml:space="preserve">Polymorph Stability Index (PSI) for Integrated Assessment of Floristic </w:t>
    </w:r>
    <w:r>
      <w:rPr>
        <w:sz w:val="16"/>
        <w:szCs w:val="16"/>
      </w:rPr>
      <w:t xml:space="preserve"> </w:t>
    </w:r>
  </w:p>
  <w:p w14:paraId="60661645" w14:textId="661FA04C" w:rsidR="009F2248" w:rsidRDefault="00BB1A53" w:rsidP="00BB1A53">
    <w:pPr>
      <w:pStyle w:val="af7"/>
      <w:tabs>
        <w:tab w:val="left" w:pos="5310"/>
      </w:tabs>
    </w:pPr>
    <w:r>
      <w:rPr>
        <w:sz w:val="16"/>
        <w:szCs w:val="16"/>
      </w:rPr>
      <w:tab/>
    </w:r>
    <w:r>
      <w:rPr>
        <w:sz w:val="16"/>
        <w:szCs w:val="16"/>
      </w:rPr>
      <w:tab/>
    </w:r>
    <w:r w:rsidRPr="00BB1A53">
      <w:rPr>
        <w:sz w:val="16"/>
        <w:szCs w:val="16"/>
      </w:rPr>
      <w:t xml:space="preserve">Families in </w:t>
    </w:r>
    <w:proofErr w:type="spellStart"/>
    <w:r w:rsidRPr="00BB1A53">
      <w:rPr>
        <w:sz w:val="16"/>
        <w:szCs w:val="16"/>
      </w:rPr>
      <w:t>Surkhandarya</w:t>
    </w:r>
    <w:proofErr w:type="spellEnd"/>
    <w:r w:rsidRPr="00BB1A53">
      <w:rPr>
        <w:sz w:val="16"/>
        <w:szCs w:val="16"/>
      </w:rPr>
      <w:t xml:space="preserve"> (Central Asia)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3A527" w14:textId="77777777" w:rsidR="009F2248" w:rsidRDefault="009F2248" w:rsidP="006015E8">
    <w:pPr>
      <w:pStyle w:val="af7"/>
      <w:ind w:right="-1085"/>
      <w:jc w:val="center"/>
      <w:rPr>
        <w:lang w:val="ru-RU"/>
      </w:rPr>
    </w:pPr>
    <w:r>
      <w:rPr>
        <w:noProof/>
      </w:rPr>
      <w:drawing>
        <wp:inline distT="0" distB="0" distL="0" distR="0" wp14:anchorId="4DB515D2" wp14:editId="51D95E78">
          <wp:extent cx="6290945" cy="504825"/>
          <wp:effectExtent l="0" t="0" r="0" b="0"/>
          <wp:docPr id="2391954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195486"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290945" cy="504825"/>
                  </a:xfrm>
                  <a:prstGeom prst="rect">
                    <a:avLst/>
                  </a:prstGeom>
                  <a:noFill/>
                  <a:ln>
                    <a:noFill/>
                  </a:ln>
                </pic:spPr>
              </pic:pic>
            </a:graphicData>
          </a:graphic>
        </wp:inline>
      </w:drawing>
    </w:r>
  </w:p>
  <w:p w14:paraId="6CB3ACF8" w14:textId="7564733A" w:rsidR="009F2248" w:rsidRPr="006015E8" w:rsidRDefault="009F2248" w:rsidP="006015E8">
    <w:pPr>
      <w:pStyle w:val="af7"/>
      <w:ind w:right="-1085" w:hanging="1560"/>
      <w:jc w:val="center"/>
      <w:rPr>
        <w:sz w:val="22"/>
        <w:szCs w:val="22"/>
      </w:rPr>
    </w:pPr>
    <w:r>
      <w:rPr>
        <w:sz w:val="22"/>
        <w:szCs w:val="22"/>
      </w:rPr>
      <w:t xml:space="preserve">                                                                                                                                                                         </w:t>
    </w:r>
    <w:r>
      <w:rPr>
        <w:sz w:val="22"/>
        <w:szCs w:val="22"/>
        <w:lang w:val="ru-RU"/>
      </w:rPr>
      <w:t>PDCA ISSN 2181-2403</w:t>
    </w:r>
  </w:p>
  <w:p w14:paraId="43FFA433" w14:textId="77777777" w:rsidR="009F2248" w:rsidRDefault="009F2248" w:rsidP="00A51C3C">
    <w:pPr>
      <w:pStyle w:val="af7"/>
      <w:tabs>
        <w:tab w:val="clear" w:pos="4677"/>
        <w:tab w:val="center" w:pos="6570"/>
      </w:tabs>
      <w:ind w:right="-1085" w:firstLineChars="10750" w:firstLine="7757"/>
      <w:jc w:val="center"/>
      <w:rPr>
        <w:sz w:val="22"/>
        <w:szCs w:val="22"/>
        <w:lang w:val="ru-RU"/>
      </w:rPr>
    </w:pPr>
    <w:r>
      <w:rPr>
        <w:rFonts w:hint="eastAsia"/>
        <w:sz w:val="22"/>
        <w:szCs w:val="22"/>
        <w:lang w:val="ru-RU"/>
      </w:rPr>
      <w:t>PDCA ISSN 2181-239X</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2DD38" w14:textId="77777777" w:rsidR="009F2248" w:rsidRDefault="009F2248">
    <w:pPr>
      <w:pStyle w:val="af7"/>
      <w:ind w:right="-1085" w:firstLineChars="3500" w:firstLine="2526"/>
      <w:rPr>
        <w:sz w:val="22"/>
        <w:szCs w:val="22"/>
        <w:lang w:val="ru-R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86CF2"/>
    <w:multiLevelType w:val="hybridMultilevel"/>
    <w:tmpl w:val="88FCA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AF4631"/>
    <w:multiLevelType w:val="hybridMultilevel"/>
    <w:tmpl w:val="43407F24"/>
    <w:lvl w:ilvl="0" w:tplc="597AFC3C">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9C2588"/>
    <w:multiLevelType w:val="multilevel"/>
    <w:tmpl w:val="729C2588"/>
    <w:lvl w:ilvl="0">
      <w:start w:val="1"/>
      <w:numFmt w:val="decimal"/>
      <w:suff w:val="space"/>
      <w:lvlText w:val="%1."/>
      <w:lvlJc w:val="left"/>
      <w:pPr>
        <w:ind w:left="0" w:firstLine="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FlMjM4MGQ0NzA0YWEyZWUxYmRjMzkwYzQwNDNkYzIifQ=="/>
    <w:docVar w:name="EN.InstantFormat" w:val="&lt;ENInstantFormat&gt;&lt;Enabled&gt;1&lt;/Enabled&gt;&lt;ScanUnformatted&gt;1&lt;/ScanUnformatted&gt;&lt;ScanChanges&gt;1&lt;/ScanChanges&gt;&lt;Suspended&gt;0&lt;/Suspended&gt;&lt;/ENInstantFormat&gt;"/>
    <w:docVar w:name="EN.Layout" w:val="&lt;ENLayout&gt;&lt;Style&gt;Plant Diversity of Central Asi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z2rxf25o0e0roeef97xtzzw0x90df0x0tet&quot;&gt;Total reference library-Converted&lt;record-ids&gt;&lt;item&gt;25112&lt;/item&gt;&lt;item&gt;26203&lt;/item&gt;&lt;item&gt;27513&lt;/item&gt;&lt;item&gt;28999&lt;/item&gt;&lt;item&gt;34311&lt;/item&gt;&lt;item&gt;34455&lt;/item&gt;&lt;item&gt;34623&lt;/item&gt;&lt;item&gt;34854&lt;/item&gt;&lt;item&gt;34946&lt;/item&gt;&lt;item&gt;35217&lt;/item&gt;&lt;item&gt;35525&lt;/item&gt;&lt;item&gt;35539&lt;/item&gt;&lt;item&gt;36236&lt;/item&gt;&lt;item&gt;36265&lt;/item&gt;&lt;item&gt;36340&lt;/item&gt;&lt;item&gt;36571&lt;/item&gt;&lt;item&gt;36842&lt;/item&gt;&lt;item&gt;36843&lt;/item&gt;&lt;item&gt;37265&lt;/item&gt;&lt;item&gt;37370&lt;/item&gt;&lt;item&gt;37615&lt;/item&gt;&lt;item&gt;37682&lt;/item&gt;&lt;item&gt;37791&lt;/item&gt;&lt;item&gt;37969&lt;/item&gt;&lt;item&gt;38457&lt;/item&gt;&lt;item&gt;39200&lt;/item&gt;&lt;item&gt;39596&lt;/item&gt;&lt;item&gt;40023&lt;/item&gt;&lt;item&gt;40034&lt;/item&gt;&lt;item&gt;40039&lt;/item&gt;&lt;item&gt;40193&lt;/item&gt;&lt;item&gt;40251&lt;/item&gt;&lt;item&gt;40252&lt;/item&gt;&lt;item&gt;40314&lt;/item&gt;&lt;item&gt;40347&lt;/item&gt;&lt;item&gt;40348&lt;/item&gt;&lt;item&gt;40349&lt;/item&gt;&lt;item&gt;40380&lt;/item&gt;&lt;item&gt;40432&lt;/item&gt;&lt;item&gt;40819&lt;/item&gt;&lt;item&gt;40820&lt;/item&gt;&lt;item&gt;40824&lt;/item&gt;&lt;item&gt;40825&lt;/item&gt;&lt;item&gt;40964&lt;/item&gt;&lt;item&gt;40998&lt;/item&gt;&lt;item&gt;41506&lt;/item&gt;&lt;item&gt;41551&lt;/item&gt;&lt;item&gt;41642&lt;/item&gt;&lt;item&gt;41650&lt;/item&gt;&lt;item&gt;48985&lt;/item&gt;&lt;item&gt;63512&lt;/item&gt;&lt;item&gt;63535&lt;/item&gt;&lt;item&gt;71125&lt;/item&gt;&lt;item&gt;71300&lt;/item&gt;&lt;item&gt;71338&lt;/item&gt;&lt;item&gt;71339&lt;/item&gt;&lt;item&gt;71340&lt;/item&gt;&lt;item&gt;71341&lt;/item&gt;&lt;item&gt;71342&lt;/item&gt;&lt;item&gt;71344&lt;/item&gt;&lt;item&gt;71346&lt;/item&gt;&lt;item&gt;71347&lt;/item&gt;&lt;item&gt;71348&lt;/item&gt;&lt;item&gt;71349&lt;/item&gt;&lt;item&gt;71351&lt;/item&gt;&lt;item&gt;71352&lt;/item&gt;&lt;item&gt;71353&lt;/item&gt;&lt;item&gt;71354&lt;/item&gt;&lt;item&gt;71355&lt;/item&gt;&lt;item&gt;71356&lt;/item&gt;&lt;item&gt;71357&lt;/item&gt;&lt;item&gt;71363&lt;/item&gt;&lt;item&gt;71365&lt;/item&gt;&lt;item&gt;71366&lt;/item&gt;&lt;item&gt;71373&lt;/item&gt;&lt;item&gt;71374&lt;/item&gt;&lt;item&gt;71375&lt;/item&gt;&lt;item&gt;71376&lt;/item&gt;&lt;item&gt;71377&lt;/item&gt;&lt;item&gt;71378&lt;/item&gt;&lt;item&gt;71379&lt;/item&gt;&lt;item&gt;71384&lt;/item&gt;&lt;item&gt;71385&lt;/item&gt;&lt;item&gt;71386&lt;/item&gt;&lt;item&gt;71387&lt;/item&gt;&lt;item&gt;71388&lt;/item&gt;&lt;item&gt;71389&lt;/item&gt;&lt;item&gt;71423&lt;/item&gt;&lt;item&gt;71424&lt;/item&gt;&lt;item&gt;71425&lt;/item&gt;&lt;/record-ids&gt;&lt;/item&gt;&lt;/Libraries&gt;"/>
  </w:docVars>
  <w:rsids>
    <w:rsidRoot w:val="008B70EF"/>
    <w:rsid w:val="00001048"/>
    <w:rsid w:val="000043DE"/>
    <w:rsid w:val="00004B77"/>
    <w:rsid w:val="00004CF5"/>
    <w:rsid w:val="0000550D"/>
    <w:rsid w:val="000061FE"/>
    <w:rsid w:val="00007BD5"/>
    <w:rsid w:val="0001087A"/>
    <w:rsid w:val="00012ED4"/>
    <w:rsid w:val="000261BC"/>
    <w:rsid w:val="00030BFC"/>
    <w:rsid w:val="00033A00"/>
    <w:rsid w:val="00034445"/>
    <w:rsid w:val="00034646"/>
    <w:rsid w:val="000352A1"/>
    <w:rsid w:val="00040979"/>
    <w:rsid w:val="00041372"/>
    <w:rsid w:val="000448FB"/>
    <w:rsid w:val="00044A8C"/>
    <w:rsid w:val="00045CBD"/>
    <w:rsid w:val="00045DBC"/>
    <w:rsid w:val="000467C5"/>
    <w:rsid w:val="00046FFD"/>
    <w:rsid w:val="00047344"/>
    <w:rsid w:val="000519CB"/>
    <w:rsid w:val="000548D1"/>
    <w:rsid w:val="00056CAC"/>
    <w:rsid w:val="00057EB9"/>
    <w:rsid w:val="00064F72"/>
    <w:rsid w:val="00065065"/>
    <w:rsid w:val="0006795D"/>
    <w:rsid w:val="00071096"/>
    <w:rsid w:val="0007363D"/>
    <w:rsid w:val="0007372E"/>
    <w:rsid w:val="00074E85"/>
    <w:rsid w:val="00075EFE"/>
    <w:rsid w:val="000812D8"/>
    <w:rsid w:val="00083420"/>
    <w:rsid w:val="00083831"/>
    <w:rsid w:val="00084C0D"/>
    <w:rsid w:val="000850C2"/>
    <w:rsid w:val="000934A4"/>
    <w:rsid w:val="00093E26"/>
    <w:rsid w:val="0009695A"/>
    <w:rsid w:val="00097C82"/>
    <w:rsid w:val="000A038D"/>
    <w:rsid w:val="000A121C"/>
    <w:rsid w:val="000A1456"/>
    <w:rsid w:val="000A3FC1"/>
    <w:rsid w:val="000A71FE"/>
    <w:rsid w:val="000A7999"/>
    <w:rsid w:val="000B2316"/>
    <w:rsid w:val="000B53C2"/>
    <w:rsid w:val="000B5497"/>
    <w:rsid w:val="000C0D36"/>
    <w:rsid w:val="000C1AE8"/>
    <w:rsid w:val="000C24D9"/>
    <w:rsid w:val="000C598B"/>
    <w:rsid w:val="000C7C01"/>
    <w:rsid w:val="000C7D4B"/>
    <w:rsid w:val="000D043A"/>
    <w:rsid w:val="000D0BAE"/>
    <w:rsid w:val="000D1534"/>
    <w:rsid w:val="000D1F37"/>
    <w:rsid w:val="000D2281"/>
    <w:rsid w:val="000D2FE4"/>
    <w:rsid w:val="000D37B6"/>
    <w:rsid w:val="000D4166"/>
    <w:rsid w:val="000D5F33"/>
    <w:rsid w:val="000E1373"/>
    <w:rsid w:val="000E4E1B"/>
    <w:rsid w:val="000E6FB8"/>
    <w:rsid w:val="000F2F32"/>
    <w:rsid w:val="000F3C78"/>
    <w:rsid w:val="000F4FE6"/>
    <w:rsid w:val="00101C12"/>
    <w:rsid w:val="00101D17"/>
    <w:rsid w:val="00103558"/>
    <w:rsid w:val="00107A42"/>
    <w:rsid w:val="00110E8B"/>
    <w:rsid w:val="001151FE"/>
    <w:rsid w:val="00115B1A"/>
    <w:rsid w:val="001226AD"/>
    <w:rsid w:val="0012572C"/>
    <w:rsid w:val="00131D8E"/>
    <w:rsid w:val="00134111"/>
    <w:rsid w:val="001364B5"/>
    <w:rsid w:val="00144A78"/>
    <w:rsid w:val="00146750"/>
    <w:rsid w:val="00147147"/>
    <w:rsid w:val="00147259"/>
    <w:rsid w:val="0015078D"/>
    <w:rsid w:val="00154835"/>
    <w:rsid w:val="001553F6"/>
    <w:rsid w:val="001569F3"/>
    <w:rsid w:val="00156E03"/>
    <w:rsid w:val="00157319"/>
    <w:rsid w:val="00157BD6"/>
    <w:rsid w:val="001641EC"/>
    <w:rsid w:val="0016569B"/>
    <w:rsid w:val="00167337"/>
    <w:rsid w:val="00170A40"/>
    <w:rsid w:val="00170D49"/>
    <w:rsid w:val="001732A4"/>
    <w:rsid w:val="00183F98"/>
    <w:rsid w:val="001844D3"/>
    <w:rsid w:val="001858FC"/>
    <w:rsid w:val="00185DF0"/>
    <w:rsid w:val="00190703"/>
    <w:rsid w:val="00190E7B"/>
    <w:rsid w:val="001924A6"/>
    <w:rsid w:val="00194CB7"/>
    <w:rsid w:val="00197334"/>
    <w:rsid w:val="001A0C8D"/>
    <w:rsid w:val="001A1627"/>
    <w:rsid w:val="001A1D30"/>
    <w:rsid w:val="001A3FDF"/>
    <w:rsid w:val="001A4253"/>
    <w:rsid w:val="001A5399"/>
    <w:rsid w:val="001B0C47"/>
    <w:rsid w:val="001B1DA2"/>
    <w:rsid w:val="001B2D6C"/>
    <w:rsid w:val="001B45AB"/>
    <w:rsid w:val="001B7002"/>
    <w:rsid w:val="001B74B7"/>
    <w:rsid w:val="001B7D80"/>
    <w:rsid w:val="001C0BC9"/>
    <w:rsid w:val="001C267C"/>
    <w:rsid w:val="001C3D20"/>
    <w:rsid w:val="001C4193"/>
    <w:rsid w:val="001C5A48"/>
    <w:rsid w:val="001C5B81"/>
    <w:rsid w:val="001C72A3"/>
    <w:rsid w:val="001C7E83"/>
    <w:rsid w:val="001D002A"/>
    <w:rsid w:val="001D40F3"/>
    <w:rsid w:val="001E2BB0"/>
    <w:rsid w:val="001E3144"/>
    <w:rsid w:val="001E49FB"/>
    <w:rsid w:val="001E7EF5"/>
    <w:rsid w:val="001F011B"/>
    <w:rsid w:val="001F245F"/>
    <w:rsid w:val="001F2C40"/>
    <w:rsid w:val="001F345A"/>
    <w:rsid w:val="001F4468"/>
    <w:rsid w:val="001F4BBE"/>
    <w:rsid w:val="001F59A8"/>
    <w:rsid w:val="001F6D66"/>
    <w:rsid w:val="001F7411"/>
    <w:rsid w:val="00201959"/>
    <w:rsid w:val="00202A94"/>
    <w:rsid w:val="00202F78"/>
    <w:rsid w:val="0020394B"/>
    <w:rsid w:val="002060C4"/>
    <w:rsid w:val="00207CF0"/>
    <w:rsid w:val="0021005D"/>
    <w:rsid w:val="00210E41"/>
    <w:rsid w:val="00211A87"/>
    <w:rsid w:val="002129C5"/>
    <w:rsid w:val="00212EB8"/>
    <w:rsid w:val="00216A02"/>
    <w:rsid w:val="00231C4A"/>
    <w:rsid w:val="00232C9F"/>
    <w:rsid w:val="00234A99"/>
    <w:rsid w:val="00234D97"/>
    <w:rsid w:val="0023536D"/>
    <w:rsid w:val="00236C7F"/>
    <w:rsid w:val="0023718D"/>
    <w:rsid w:val="002374AF"/>
    <w:rsid w:val="002377A1"/>
    <w:rsid w:val="00244ABF"/>
    <w:rsid w:val="00244E46"/>
    <w:rsid w:val="002451D0"/>
    <w:rsid w:val="00246A18"/>
    <w:rsid w:val="002560DE"/>
    <w:rsid w:val="00257018"/>
    <w:rsid w:val="00257AEF"/>
    <w:rsid w:val="00257C9B"/>
    <w:rsid w:val="002607E0"/>
    <w:rsid w:val="00260B6F"/>
    <w:rsid w:val="00263AC2"/>
    <w:rsid w:val="0026425C"/>
    <w:rsid w:val="00264E48"/>
    <w:rsid w:val="0027043C"/>
    <w:rsid w:val="0027116A"/>
    <w:rsid w:val="00271DF1"/>
    <w:rsid w:val="00272372"/>
    <w:rsid w:val="002728E7"/>
    <w:rsid w:val="0027412E"/>
    <w:rsid w:val="00281127"/>
    <w:rsid w:val="0028152F"/>
    <w:rsid w:val="00282C0C"/>
    <w:rsid w:val="00286686"/>
    <w:rsid w:val="00286E84"/>
    <w:rsid w:val="00287B3E"/>
    <w:rsid w:val="002908AA"/>
    <w:rsid w:val="00290FB2"/>
    <w:rsid w:val="00291959"/>
    <w:rsid w:val="002937C5"/>
    <w:rsid w:val="00293BB9"/>
    <w:rsid w:val="00294AA5"/>
    <w:rsid w:val="00294AB0"/>
    <w:rsid w:val="00294C0F"/>
    <w:rsid w:val="00295DD9"/>
    <w:rsid w:val="00297B3E"/>
    <w:rsid w:val="002A0FEC"/>
    <w:rsid w:val="002A43D8"/>
    <w:rsid w:val="002A6407"/>
    <w:rsid w:val="002A66FA"/>
    <w:rsid w:val="002A6B74"/>
    <w:rsid w:val="002A7467"/>
    <w:rsid w:val="002B405B"/>
    <w:rsid w:val="002B53A6"/>
    <w:rsid w:val="002B58AD"/>
    <w:rsid w:val="002B698B"/>
    <w:rsid w:val="002B6C2F"/>
    <w:rsid w:val="002B6E45"/>
    <w:rsid w:val="002B7878"/>
    <w:rsid w:val="002B7B1F"/>
    <w:rsid w:val="002C03D6"/>
    <w:rsid w:val="002C04D8"/>
    <w:rsid w:val="002C157D"/>
    <w:rsid w:val="002C2198"/>
    <w:rsid w:val="002C574D"/>
    <w:rsid w:val="002C5F3D"/>
    <w:rsid w:val="002C6BEC"/>
    <w:rsid w:val="002D2B3E"/>
    <w:rsid w:val="002D32B6"/>
    <w:rsid w:val="002D5907"/>
    <w:rsid w:val="002E03B8"/>
    <w:rsid w:val="002E1F5E"/>
    <w:rsid w:val="002E2FF5"/>
    <w:rsid w:val="002E6ABA"/>
    <w:rsid w:val="002E6BC7"/>
    <w:rsid w:val="002E6E70"/>
    <w:rsid w:val="002F13EB"/>
    <w:rsid w:val="002F1B87"/>
    <w:rsid w:val="00300421"/>
    <w:rsid w:val="00300B9E"/>
    <w:rsid w:val="00304D2B"/>
    <w:rsid w:val="00305556"/>
    <w:rsid w:val="00305BB1"/>
    <w:rsid w:val="00307531"/>
    <w:rsid w:val="00307E06"/>
    <w:rsid w:val="00310110"/>
    <w:rsid w:val="00312650"/>
    <w:rsid w:val="00313575"/>
    <w:rsid w:val="00315862"/>
    <w:rsid w:val="00320846"/>
    <w:rsid w:val="0032253B"/>
    <w:rsid w:val="003262B6"/>
    <w:rsid w:val="00331AF6"/>
    <w:rsid w:val="003331DE"/>
    <w:rsid w:val="00334847"/>
    <w:rsid w:val="003358FD"/>
    <w:rsid w:val="00341275"/>
    <w:rsid w:val="00342742"/>
    <w:rsid w:val="00343007"/>
    <w:rsid w:val="00354233"/>
    <w:rsid w:val="003558CD"/>
    <w:rsid w:val="0035629C"/>
    <w:rsid w:val="00360CC6"/>
    <w:rsid w:val="00361782"/>
    <w:rsid w:val="00365E03"/>
    <w:rsid w:val="003733D4"/>
    <w:rsid w:val="00373695"/>
    <w:rsid w:val="00375695"/>
    <w:rsid w:val="00376541"/>
    <w:rsid w:val="0037780B"/>
    <w:rsid w:val="00377DAF"/>
    <w:rsid w:val="00385B1F"/>
    <w:rsid w:val="00387F3D"/>
    <w:rsid w:val="003910C4"/>
    <w:rsid w:val="00391880"/>
    <w:rsid w:val="003922E9"/>
    <w:rsid w:val="00392F03"/>
    <w:rsid w:val="003938F7"/>
    <w:rsid w:val="00393C3B"/>
    <w:rsid w:val="00394E72"/>
    <w:rsid w:val="00394F3C"/>
    <w:rsid w:val="003955FC"/>
    <w:rsid w:val="0039656A"/>
    <w:rsid w:val="0039708F"/>
    <w:rsid w:val="003A46CB"/>
    <w:rsid w:val="003A4AF0"/>
    <w:rsid w:val="003A622E"/>
    <w:rsid w:val="003A732C"/>
    <w:rsid w:val="003B0E1B"/>
    <w:rsid w:val="003B1580"/>
    <w:rsid w:val="003B26F8"/>
    <w:rsid w:val="003B3FA6"/>
    <w:rsid w:val="003B4126"/>
    <w:rsid w:val="003B6929"/>
    <w:rsid w:val="003B74E9"/>
    <w:rsid w:val="003C0FA8"/>
    <w:rsid w:val="003C72E5"/>
    <w:rsid w:val="003D1431"/>
    <w:rsid w:val="003D2937"/>
    <w:rsid w:val="003D2A14"/>
    <w:rsid w:val="003D33C9"/>
    <w:rsid w:val="003D368B"/>
    <w:rsid w:val="003D4030"/>
    <w:rsid w:val="003D451F"/>
    <w:rsid w:val="003D45BB"/>
    <w:rsid w:val="003D6752"/>
    <w:rsid w:val="003E2625"/>
    <w:rsid w:val="003E4BC9"/>
    <w:rsid w:val="003E4FFC"/>
    <w:rsid w:val="003E6FF1"/>
    <w:rsid w:val="003E7077"/>
    <w:rsid w:val="003F1DEC"/>
    <w:rsid w:val="003F276A"/>
    <w:rsid w:val="003F279B"/>
    <w:rsid w:val="004022D0"/>
    <w:rsid w:val="004059FC"/>
    <w:rsid w:val="00406756"/>
    <w:rsid w:val="00406954"/>
    <w:rsid w:val="0041098D"/>
    <w:rsid w:val="004131B9"/>
    <w:rsid w:val="0041375D"/>
    <w:rsid w:val="00414B9E"/>
    <w:rsid w:val="0042542D"/>
    <w:rsid w:val="004262E5"/>
    <w:rsid w:val="004274FA"/>
    <w:rsid w:val="004322E9"/>
    <w:rsid w:val="004408A1"/>
    <w:rsid w:val="00440F87"/>
    <w:rsid w:val="00443F51"/>
    <w:rsid w:val="004450ED"/>
    <w:rsid w:val="00447BD6"/>
    <w:rsid w:val="00450CEA"/>
    <w:rsid w:val="00453832"/>
    <w:rsid w:val="00454892"/>
    <w:rsid w:val="00454B72"/>
    <w:rsid w:val="00455486"/>
    <w:rsid w:val="00455B97"/>
    <w:rsid w:val="00456BF0"/>
    <w:rsid w:val="00457FB8"/>
    <w:rsid w:val="0046443A"/>
    <w:rsid w:val="00470AD8"/>
    <w:rsid w:val="00470E46"/>
    <w:rsid w:val="004719B6"/>
    <w:rsid w:val="00473417"/>
    <w:rsid w:val="00473817"/>
    <w:rsid w:val="00474FD3"/>
    <w:rsid w:val="00480ACA"/>
    <w:rsid w:val="004828E6"/>
    <w:rsid w:val="00482C49"/>
    <w:rsid w:val="004835FB"/>
    <w:rsid w:val="0048545A"/>
    <w:rsid w:val="004867A7"/>
    <w:rsid w:val="00487FCD"/>
    <w:rsid w:val="004920F4"/>
    <w:rsid w:val="00492835"/>
    <w:rsid w:val="0049321D"/>
    <w:rsid w:val="0049504A"/>
    <w:rsid w:val="0049514B"/>
    <w:rsid w:val="00495647"/>
    <w:rsid w:val="004962D1"/>
    <w:rsid w:val="0049630E"/>
    <w:rsid w:val="0049642B"/>
    <w:rsid w:val="00497320"/>
    <w:rsid w:val="00497FE7"/>
    <w:rsid w:val="004A1018"/>
    <w:rsid w:val="004A466F"/>
    <w:rsid w:val="004A49B8"/>
    <w:rsid w:val="004A56A9"/>
    <w:rsid w:val="004A7374"/>
    <w:rsid w:val="004B1A6F"/>
    <w:rsid w:val="004B22F8"/>
    <w:rsid w:val="004B3EC6"/>
    <w:rsid w:val="004B4354"/>
    <w:rsid w:val="004B4726"/>
    <w:rsid w:val="004B4E47"/>
    <w:rsid w:val="004B5B26"/>
    <w:rsid w:val="004B5D70"/>
    <w:rsid w:val="004C001F"/>
    <w:rsid w:val="004C0AAF"/>
    <w:rsid w:val="004C159C"/>
    <w:rsid w:val="004C555E"/>
    <w:rsid w:val="004C6516"/>
    <w:rsid w:val="004C6A23"/>
    <w:rsid w:val="004C6A58"/>
    <w:rsid w:val="004D012A"/>
    <w:rsid w:val="004D049A"/>
    <w:rsid w:val="004D0F02"/>
    <w:rsid w:val="004D3DCF"/>
    <w:rsid w:val="004D3F2A"/>
    <w:rsid w:val="004D505E"/>
    <w:rsid w:val="004D6E3E"/>
    <w:rsid w:val="004D7860"/>
    <w:rsid w:val="004D7A42"/>
    <w:rsid w:val="004E15AD"/>
    <w:rsid w:val="004E63FB"/>
    <w:rsid w:val="004E6D81"/>
    <w:rsid w:val="004E7400"/>
    <w:rsid w:val="004F0F5C"/>
    <w:rsid w:val="004F29E1"/>
    <w:rsid w:val="004F3005"/>
    <w:rsid w:val="004F340B"/>
    <w:rsid w:val="004F38A4"/>
    <w:rsid w:val="004F4CF6"/>
    <w:rsid w:val="004F69EF"/>
    <w:rsid w:val="00502CF9"/>
    <w:rsid w:val="0050680F"/>
    <w:rsid w:val="00510361"/>
    <w:rsid w:val="005115E0"/>
    <w:rsid w:val="0051217C"/>
    <w:rsid w:val="005159AB"/>
    <w:rsid w:val="005216FF"/>
    <w:rsid w:val="00524896"/>
    <w:rsid w:val="00525466"/>
    <w:rsid w:val="005254D6"/>
    <w:rsid w:val="00531BC4"/>
    <w:rsid w:val="00532658"/>
    <w:rsid w:val="005329B7"/>
    <w:rsid w:val="00532A44"/>
    <w:rsid w:val="00540219"/>
    <w:rsid w:val="005409EA"/>
    <w:rsid w:val="00540C29"/>
    <w:rsid w:val="005430E3"/>
    <w:rsid w:val="00545641"/>
    <w:rsid w:val="005478AE"/>
    <w:rsid w:val="005578DD"/>
    <w:rsid w:val="0056344F"/>
    <w:rsid w:val="00564342"/>
    <w:rsid w:val="005647B7"/>
    <w:rsid w:val="00565AE6"/>
    <w:rsid w:val="00566BAC"/>
    <w:rsid w:val="00566EC5"/>
    <w:rsid w:val="00567EB1"/>
    <w:rsid w:val="00570EFD"/>
    <w:rsid w:val="00570FA1"/>
    <w:rsid w:val="0057185C"/>
    <w:rsid w:val="00576FEB"/>
    <w:rsid w:val="005812AA"/>
    <w:rsid w:val="005816F1"/>
    <w:rsid w:val="0058213B"/>
    <w:rsid w:val="00584C1F"/>
    <w:rsid w:val="00585092"/>
    <w:rsid w:val="005908A5"/>
    <w:rsid w:val="00592E03"/>
    <w:rsid w:val="00595CDB"/>
    <w:rsid w:val="00596BF3"/>
    <w:rsid w:val="00597397"/>
    <w:rsid w:val="005A0869"/>
    <w:rsid w:val="005A1CD9"/>
    <w:rsid w:val="005A256B"/>
    <w:rsid w:val="005A471C"/>
    <w:rsid w:val="005A4811"/>
    <w:rsid w:val="005B1EC2"/>
    <w:rsid w:val="005B29DE"/>
    <w:rsid w:val="005B2E02"/>
    <w:rsid w:val="005B503A"/>
    <w:rsid w:val="005B6745"/>
    <w:rsid w:val="005C11BC"/>
    <w:rsid w:val="005C1DD3"/>
    <w:rsid w:val="005C499E"/>
    <w:rsid w:val="005C4FCE"/>
    <w:rsid w:val="005C5F96"/>
    <w:rsid w:val="005C6345"/>
    <w:rsid w:val="005C7089"/>
    <w:rsid w:val="005C7BAD"/>
    <w:rsid w:val="005D0455"/>
    <w:rsid w:val="005D1774"/>
    <w:rsid w:val="005D3F2F"/>
    <w:rsid w:val="005D4399"/>
    <w:rsid w:val="005D5994"/>
    <w:rsid w:val="005D60E0"/>
    <w:rsid w:val="005E03BE"/>
    <w:rsid w:val="005E3754"/>
    <w:rsid w:val="005E5377"/>
    <w:rsid w:val="005F6B1D"/>
    <w:rsid w:val="005F7AC6"/>
    <w:rsid w:val="006015E8"/>
    <w:rsid w:val="006040DD"/>
    <w:rsid w:val="006051A3"/>
    <w:rsid w:val="00606001"/>
    <w:rsid w:val="006060DA"/>
    <w:rsid w:val="006065E3"/>
    <w:rsid w:val="00611501"/>
    <w:rsid w:val="00612791"/>
    <w:rsid w:val="00615177"/>
    <w:rsid w:val="00620F2D"/>
    <w:rsid w:val="006216C9"/>
    <w:rsid w:val="00621861"/>
    <w:rsid w:val="00622BDF"/>
    <w:rsid w:val="006240AA"/>
    <w:rsid w:val="00626AC0"/>
    <w:rsid w:val="00626C71"/>
    <w:rsid w:val="006270B8"/>
    <w:rsid w:val="0063384F"/>
    <w:rsid w:val="00634943"/>
    <w:rsid w:val="00640484"/>
    <w:rsid w:val="00646C8B"/>
    <w:rsid w:val="00651FBC"/>
    <w:rsid w:val="00652307"/>
    <w:rsid w:val="00653FAE"/>
    <w:rsid w:val="0065424E"/>
    <w:rsid w:val="00654506"/>
    <w:rsid w:val="00655C6B"/>
    <w:rsid w:val="00656D32"/>
    <w:rsid w:val="006579B0"/>
    <w:rsid w:val="00657CD2"/>
    <w:rsid w:val="00660154"/>
    <w:rsid w:val="00664183"/>
    <w:rsid w:val="00664234"/>
    <w:rsid w:val="00666DB6"/>
    <w:rsid w:val="00667E29"/>
    <w:rsid w:val="006702AD"/>
    <w:rsid w:val="00677D10"/>
    <w:rsid w:val="00683FC4"/>
    <w:rsid w:val="006843A0"/>
    <w:rsid w:val="0068494C"/>
    <w:rsid w:val="00686F34"/>
    <w:rsid w:val="0068759B"/>
    <w:rsid w:val="0069268B"/>
    <w:rsid w:val="006966D2"/>
    <w:rsid w:val="00697C85"/>
    <w:rsid w:val="006A0447"/>
    <w:rsid w:val="006A0566"/>
    <w:rsid w:val="006A0A56"/>
    <w:rsid w:val="006A13F9"/>
    <w:rsid w:val="006A2D90"/>
    <w:rsid w:val="006A3F4D"/>
    <w:rsid w:val="006A5B80"/>
    <w:rsid w:val="006B103D"/>
    <w:rsid w:val="006B47B5"/>
    <w:rsid w:val="006B5767"/>
    <w:rsid w:val="006B5F52"/>
    <w:rsid w:val="006B7758"/>
    <w:rsid w:val="006B7E3A"/>
    <w:rsid w:val="006C0D39"/>
    <w:rsid w:val="006C2172"/>
    <w:rsid w:val="006C2960"/>
    <w:rsid w:val="006C3F4C"/>
    <w:rsid w:val="006C6AD4"/>
    <w:rsid w:val="006D0F6E"/>
    <w:rsid w:val="006D1796"/>
    <w:rsid w:val="006D3990"/>
    <w:rsid w:val="006D455B"/>
    <w:rsid w:val="006D5CD5"/>
    <w:rsid w:val="006D6B26"/>
    <w:rsid w:val="006D6CCD"/>
    <w:rsid w:val="006D7C5D"/>
    <w:rsid w:val="006E176C"/>
    <w:rsid w:val="006E1FAA"/>
    <w:rsid w:val="006E505A"/>
    <w:rsid w:val="006F300E"/>
    <w:rsid w:val="006F4137"/>
    <w:rsid w:val="006F41F8"/>
    <w:rsid w:val="006F4633"/>
    <w:rsid w:val="00700269"/>
    <w:rsid w:val="007015BE"/>
    <w:rsid w:val="00701866"/>
    <w:rsid w:val="00701B65"/>
    <w:rsid w:val="0070357D"/>
    <w:rsid w:val="007036CC"/>
    <w:rsid w:val="007053CA"/>
    <w:rsid w:val="00705CD8"/>
    <w:rsid w:val="00706B8E"/>
    <w:rsid w:val="007122CC"/>
    <w:rsid w:val="00712FE8"/>
    <w:rsid w:val="00714BB2"/>
    <w:rsid w:val="00717702"/>
    <w:rsid w:val="00720668"/>
    <w:rsid w:val="00724D3C"/>
    <w:rsid w:val="00726F85"/>
    <w:rsid w:val="00727C02"/>
    <w:rsid w:val="0073536E"/>
    <w:rsid w:val="007367C5"/>
    <w:rsid w:val="0073733E"/>
    <w:rsid w:val="00737C82"/>
    <w:rsid w:val="00743EEB"/>
    <w:rsid w:val="00744BD6"/>
    <w:rsid w:val="00750050"/>
    <w:rsid w:val="00750F7E"/>
    <w:rsid w:val="007518E6"/>
    <w:rsid w:val="007532A7"/>
    <w:rsid w:val="0075645E"/>
    <w:rsid w:val="0076162D"/>
    <w:rsid w:val="0076241B"/>
    <w:rsid w:val="00764E95"/>
    <w:rsid w:val="007710E2"/>
    <w:rsid w:val="007710FA"/>
    <w:rsid w:val="00771F23"/>
    <w:rsid w:val="00773855"/>
    <w:rsid w:val="00774A9C"/>
    <w:rsid w:val="00775F92"/>
    <w:rsid w:val="00776B9F"/>
    <w:rsid w:val="00777216"/>
    <w:rsid w:val="007802DB"/>
    <w:rsid w:val="007805D6"/>
    <w:rsid w:val="0078201F"/>
    <w:rsid w:val="0078311F"/>
    <w:rsid w:val="00783419"/>
    <w:rsid w:val="00785176"/>
    <w:rsid w:val="00786349"/>
    <w:rsid w:val="00786BCC"/>
    <w:rsid w:val="00791B5D"/>
    <w:rsid w:val="00793B75"/>
    <w:rsid w:val="00793BE5"/>
    <w:rsid w:val="007942F2"/>
    <w:rsid w:val="00794414"/>
    <w:rsid w:val="00794C8B"/>
    <w:rsid w:val="00795BA8"/>
    <w:rsid w:val="00796201"/>
    <w:rsid w:val="007977B1"/>
    <w:rsid w:val="007A0998"/>
    <w:rsid w:val="007A0E7E"/>
    <w:rsid w:val="007A2DF1"/>
    <w:rsid w:val="007A44A6"/>
    <w:rsid w:val="007A4F87"/>
    <w:rsid w:val="007B2D5A"/>
    <w:rsid w:val="007B4005"/>
    <w:rsid w:val="007B48A8"/>
    <w:rsid w:val="007B6884"/>
    <w:rsid w:val="007B6F41"/>
    <w:rsid w:val="007B76DC"/>
    <w:rsid w:val="007C0DF5"/>
    <w:rsid w:val="007C13DD"/>
    <w:rsid w:val="007C2D80"/>
    <w:rsid w:val="007C4466"/>
    <w:rsid w:val="007C451B"/>
    <w:rsid w:val="007C53BB"/>
    <w:rsid w:val="007C5A2C"/>
    <w:rsid w:val="007C7547"/>
    <w:rsid w:val="007C7D75"/>
    <w:rsid w:val="007D0351"/>
    <w:rsid w:val="007D1128"/>
    <w:rsid w:val="007D282E"/>
    <w:rsid w:val="007D5CBC"/>
    <w:rsid w:val="007D5E28"/>
    <w:rsid w:val="007D6797"/>
    <w:rsid w:val="007D7AF2"/>
    <w:rsid w:val="007E09C4"/>
    <w:rsid w:val="007E314E"/>
    <w:rsid w:val="007E36B6"/>
    <w:rsid w:val="007E5910"/>
    <w:rsid w:val="007E6175"/>
    <w:rsid w:val="007E790F"/>
    <w:rsid w:val="007F06D3"/>
    <w:rsid w:val="007F0718"/>
    <w:rsid w:val="007F28CF"/>
    <w:rsid w:val="007F2E38"/>
    <w:rsid w:val="007F3393"/>
    <w:rsid w:val="007F4509"/>
    <w:rsid w:val="007F47F0"/>
    <w:rsid w:val="007F4DE7"/>
    <w:rsid w:val="007F6036"/>
    <w:rsid w:val="007F7DE7"/>
    <w:rsid w:val="00800B71"/>
    <w:rsid w:val="00802F25"/>
    <w:rsid w:val="00804928"/>
    <w:rsid w:val="00804B38"/>
    <w:rsid w:val="00805DCE"/>
    <w:rsid w:val="00811F92"/>
    <w:rsid w:val="0081294B"/>
    <w:rsid w:val="008174AC"/>
    <w:rsid w:val="008174B5"/>
    <w:rsid w:val="00817DE5"/>
    <w:rsid w:val="00820182"/>
    <w:rsid w:val="008217CD"/>
    <w:rsid w:val="008228B5"/>
    <w:rsid w:val="00824531"/>
    <w:rsid w:val="008266C2"/>
    <w:rsid w:val="008335C8"/>
    <w:rsid w:val="00833A4C"/>
    <w:rsid w:val="00834087"/>
    <w:rsid w:val="00836A29"/>
    <w:rsid w:val="00837000"/>
    <w:rsid w:val="008401A0"/>
    <w:rsid w:val="00840ABF"/>
    <w:rsid w:val="008416A5"/>
    <w:rsid w:val="00841C9A"/>
    <w:rsid w:val="00844883"/>
    <w:rsid w:val="00844C19"/>
    <w:rsid w:val="00845B1A"/>
    <w:rsid w:val="00847DC9"/>
    <w:rsid w:val="008506D9"/>
    <w:rsid w:val="008533C6"/>
    <w:rsid w:val="00854636"/>
    <w:rsid w:val="00855DA2"/>
    <w:rsid w:val="00857FEB"/>
    <w:rsid w:val="00862DA9"/>
    <w:rsid w:val="00864FF9"/>
    <w:rsid w:val="008651AD"/>
    <w:rsid w:val="00865CBF"/>
    <w:rsid w:val="008742C7"/>
    <w:rsid w:val="00874552"/>
    <w:rsid w:val="00876BC0"/>
    <w:rsid w:val="00880EB3"/>
    <w:rsid w:val="00880ED4"/>
    <w:rsid w:val="008817DA"/>
    <w:rsid w:val="00881C03"/>
    <w:rsid w:val="00882000"/>
    <w:rsid w:val="00882B7D"/>
    <w:rsid w:val="00882FB3"/>
    <w:rsid w:val="008863EC"/>
    <w:rsid w:val="008868EC"/>
    <w:rsid w:val="00886AAD"/>
    <w:rsid w:val="00892F67"/>
    <w:rsid w:val="00895210"/>
    <w:rsid w:val="008957FD"/>
    <w:rsid w:val="008A0E0A"/>
    <w:rsid w:val="008A285C"/>
    <w:rsid w:val="008A46E5"/>
    <w:rsid w:val="008A4EA8"/>
    <w:rsid w:val="008B13F2"/>
    <w:rsid w:val="008B3552"/>
    <w:rsid w:val="008B3A0B"/>
    <w:rsid w:val="008B4DB3"/>
    <w:rsid w:val="008B6194"/>
    <w:rsid w:val="008B66D3"/>
    <w:rsid w:val="008B70EF"/>
    <w:rsid w:val="008B713B"/>
    <w:rsid w:val="008C09D5"/>
    <w:rsid w:val="008C0BE1"/>
    <w:rsid w:val="008C0C34"/>
    <w:rsid w:val="008C5CBC"/>
    <w:rsid w:val="008D148F"/>
    <w:rsid w:val="008D64DA"/>
    <w:rsid w:val="008D725B"/>
    <w:rsid w:val="008D7E2C"/>
    <w:rsid w:val="008E3DB8"/>
    <w:rsid w:val="008E4F41"/>
    <w:rsid w:val="008E5CA9"/>
    <w:rsid w:val="008E730F"/>
    <w:rsid w:val="008E7770"/>
    <w:rsid w:val="008F01B4"/>
    <w:rsid w:val="008F35E7"/>
    <w:rsid w:val="008F3677"/>
    <w:rsid w:val="008F3721"/>
    <w:rsid w:val="008F49FF"/>
    <w:rsid w:val="008F4D53"/>
    <w:rsid w:val="008F71AA"/>
    <w:rsid w:val="008F7644"/>
    <w:rsid w:val="009005C5"/>
    <w:rsid w:val="009010E7"/>
    <w:rsid w:val="00904972"/>
    <w:rsid w:val="00905D44"/>
    <w:rsid w:val="00906769"/>
    <w:rsid w:val="00912757"/>
    <w:rsid w:val="00916F01"/>
    <w:rsid w:val="0091703D"/>
    <w:rsid w:val="00917F57"/>
    <w:rsid w:val="0092037C"/>
    <w:rsid w:val="009230E8"/>
    <w:rsid w:val="00933D5F"/>
    <w:rsid w:val="00934600"/>
    <w:rsid w:val="0093603F"/>
    <w:rsid w:val="009367C8"/>
    <w:rsid w:val="00940AD7"/>
    <w:rsid w:val="00941DFC"/>
    <w:rsid w:val="00942A25"/>
    <w:rsid w:val="0094351F"/>
    <w:rsid w:val="009444DD"/>
    <w:rsid w:val="00945C1F"/>
    <w:rsid w:val="00954355"/>
    <w:rsid w:val="009557F4"/>
    <w:rsid w:val="0096226D"/>
    <w:rsid w:val="00966A70"/>
    <w:rsid w:val="009717A5"/>
    <w:rsid w:val="00972961"/>
    <w:rsid w:val="00972DDC"/>
    <w:rsid w:val="00980EBC"/>
    <w:rsid w:val="0098132B"/>
    <w:rsid w:val="00983A7C"/>
    <w:rsid w:val="0098517B"/>
    <w:rsid w:val="00985337"/>
    <w:rsid w:val="00986F05"/>
    <w:rsid w:val="009871B5"/>
    <w:rsid w:val="00990899"/>
    <w:rsid w:val="00991398"/>
    <w:rsid w:val="00995110"/>
    <w:rsid w:val="0099696A"/>
    <w:rsid w:val="009971CB"/>
    <w:rsid w:val="009A1A6C"/>
    <w:rsid w:val="009A544F"/>
    <w:rsid w:val="009A7D36"/>
    <w:rsid w:val="009B096E"/>
    <w:rsid w:val="009B0C83"/>
    <w:rsid w:val="009B31A3"/>
    <w:rsid w:val="009B31B3"/>
    <w:rsid w:val="009B3D26"/>
    <w:rsid w:val="009B3D62"/>
    <w:rsid w:val="009B42BB"/>
    <w:rsid w:val="009B5BA7"/>
    <w:rsid w:val="009B68E6"/>
    <w:rsid w:val="009B70A6"/>
    <w:rsid w:val="009B7837"/>
    <w:rsid w:val="009B7AFE"/>
    <w:rsid w:val="009B7C60"/>
    <w:rsid w:val="009C0C04"/>
    <w:rsid w:val="009C59BC"/>
    <w:rsid w:val="009C6196"/>
    <w:rsid w:val="009D1B8C"/>
    <w:rsid w:val="009D1BD5"/>
    <w:rsid w:val="009D5199"/>
    <w:rsid w:val="009D5F45"/>
    <w:rsid w:val="009D6CDF"/>
    <w:rsid w:val="009D6E62"/>
    <w:rsid w:val="009E23B0"/>
    <w:rsid w:val="009E3778"/>
    <w:rsid w:val="009E7515"/>
    <w:rsid w:val="009E7C5F"/>
    <w:rsid w:val="009F06D6"/>
    <w:rsid w:val="009F2248"/>
    <w:rsid w:val="009F3E91"/>
    <w:rsid w:val="009F66D7"/>
    <w:rsid w:val="00A000DB"/>
    <w:rsid w:val="00A00A32"/>
    <w:rsid w:val="00A00ED0"/>
    <w:rsid w:val="00A03A54"/>
    <w:rsid w:val="00A05981"/>
    <w:rsid w:val="00A05C01"/>
    <w:rsid w:val="00A10EF9"/>
    <w:rsid w:val="00A117DB"/>
    <w:rsid w:val="00A1291A"/>
    <w:rsid w:val="00A12A31"/>
    <w:rsid w:val="00A12B62"/>
    <w:rsid w:val="00A12C68"/>
    <w:rsid w:val="00A13277"/>
    <w:rsid w:val="00A13E2A"/>
    <w:rsid w:val="00A13FED"/>
    <w:rsid w:val="00A14B93"/>
    <w:rsid w:val="00A162F1"/>
    <w:rsid w:val="00A22CA8"/>
    <w:rsid w:val="00A22D1B"/>
    <w:rsid w:val="00A262DA"/>
    <w:rsid w:val="00A332F0"/>
    <w:rsid w:val="00A35522"/>
    <w:rsid w:val="00A378D3"/>
    <w:rsid w:val="00A4594A"/>
    <w:rsid w:val="00A5064A"/>
    <w:rsid w:val="00A51C3C"/>
    <w:rsid w:val="00A521AF"/>
    <w:rsid w:val="00A54D8F"/>
    <w:rsid w:val="00A54DE4"/>
    <w:rsid w:val="00A55005"/>
    <w:rsid w:val="00A56454"/>
    <w:rsid w:val="00A564B8"/>
    <w:rsid w:val="00A5714A"/>
    <w:rsid w:val="00A57904"/>
    <w:rsid w:val="00A60E70"/>
    <w:rsid w:val="00A61953"/>
    <w:rsid w:val="00A61DBC"/>
    <w:rsid w:val="00A633D7"/>
    <w:rsid w:val="00A636F0"/>
    <w:rsid w:val="00A64725"/>
    <w:rsid w:val="00A65AE1"/>
    <w:rsid w:val="00A67288"/>
    <w:rsid w:val="00A71B77"/>
    <w:rsid w:val="00A7209D"/>
    <w:rsid w:val="00A727BC"/>
    <w:rsid w:val="00A732FF"/>
    <w:rsid w:val="00A8013E"/>
    <w:rsid w:val="00A810E8"/>
    <w:rsid w:val="00A84515"/>
    <w:rsid w:val="00A84B77"/>
    <w:rsid w:val="00A86300"/>
    <w:rsid w:val="00A8755D"/>
    <w:rsid w:val="00A876B2"/>
    <w:rsid w:val="00A9276B"/>
    <w:rsid w:val="00A9326F"/>
    <w:rsid w:val="00A93BDE"/>
    <w:rsid w:val="00A950CB"/>
    <w:rsid w:val="00A95142"/>
    <w:rsid w:val="00A96158"/>
    <w:rsid w:val="00A962CA"/>
    <w:rsid w:val="00A963A0"/>
    <w:rsid w:val="00AA01B7"/>
    <w:rsid w:val="00AA17CB"/>
    <w:rsid w:val="00AA3860"/>
    <w:rsid w:val="00AA56FA"/>
    <w:rsid w:val="00AA5CA9"/>
    <w:rsid w:val="00AA7E3A"/>
    <w:rsid w:val="00AB26FA"/>
    <w:rsid w:val="00AB29E1"/>
    <w:rsid w:val="00AB5EA5"/>
    <w:rsid w:val="00AB6F38"/>
    <w:rsid w:val="00AB7209"/>
    <w:rsid w:val="00AC4ACA"/>
    <w:rsid w:val="00AC535A"/>
    <w:rsid w:val="00AC7D58"/>
    <w:rsid w:val="00AD5A17"/>
    <w:rsid w:val="00AD5AAD"/>
    <w:rsid w:val="00AD7793"/>
    <w:rsid w:val="00AE35F3"/>
    <w:rsid w:val="00AE3D32"/>
    <w:rsid w:val="00AE4DFA"/>
    <w:rsid w:val="00AE698D"/>
    <w:rsid w:val="00AE74EC"/>
    <w:rsid w:val="00AF0EB1"/>
    <w:rsid w:val="00AF2E02"/>
    <w:rsid w:val="00AF423D"/>
    <w:rsid w:val="00AF48D8"/>
    <w:rsid w:val="00AF597A"/>
    <w:rsid w:val="00AF7C7D"/>
    <w:rsid w:val="00B01943"/>
    <w:rsid w:val="00B032E4"/>
    <w:rsid w:val="00B034D6"/>
    <w:rsid w:val="00B03A51"/>
    <w:rsid w:val="00B048BA"/>
    <w:rsid w:val="00B05264"/>
    <w:rsid w:val="00B057D3"/>
    <w:rsid w:val="00B0733E"/>
    <w:rsid w:val="00B10510"/>
    <w:rsid w:val="00B10A02"/>
    <w:rsid w:val="00B16152"/>
    <w:rsid w:val="00B1730B"/>
    <w:rsid w:val="00B1796D"/>
    <w:rsid w:val="00B2201B"/>
    <w:rsid w:val="00B221F3"/>
    <w:rsid w:val="00B2277B"/>
    <w:rsid w:val="00B2410A"/>
    <w:rsid w:val="00B244B8"/>
    <w:rsid w:val="00B2611A"/>
    <w:rsid w:val="00B27B36"/>
    <w:rsid w:val="00B325A9"/>
    <w:rsid w:val="00B4289A"/>
    <w:rsid w:val="00B432AD"/>
    <w:rsid w:val="00B449F8"/>
    <w:rsid w:val="00B4538A"/>
    <w:rsid w:val="00B453ED"/>
    <w:rsid w:val="00B4658D"/>
    <w:rsid w:val="00B46C98"/>
    <w:rsid w:val="00B47592"/>
    <w:rsid w:val="00B53738"/>
    <w:rsid w:val="00B549EC"/>
    <w:rsid w:val="00B60476"/>
    <w:rsid w:val="00B64B54"/>
    <w:rsid w:val="00B6581C"/>
    <w:rsid w:val="00B66340"/>
    <w:rsid w:val="00B72E8B"/>
    <w:rsid w:val="00B7371A"/>
    <w:rsid w:val="00B763F7"/>
    <w:rsid w:val="00B76AA1"/>
    <w:rsid w:val="00B80BA0"/>
    <w:rsid w:val="00B8304A"/>
    <w:rsid w:val="00B84E30"/>
    <w:rsid w:val="00B8605B"/>
    <w:rsid w:val="00B86E8E"/>
    <w:rsid w:val="00B87A24"/>
    <w:rsid w:val="00B921B6"/>
    <w:rsid w:val="00B922EB"/>
    <w:rsid w:val="00B929C5"/>
    <w:rsid w:val="00B94769"/>
    <w:rsid w:val="00B95413"/>
    <w:rsid w:val="00BA3618"/>
    <w:rsid w:val="00BA54AD"/>
    <w:rsid w:val="00BA6465"/>
    <w:rsid w:val="00BA7999"/>
    <w:rsid w:val="00BB1100"/>
    <w:rsid w:val="00BB1A53"/>
    <w:rsid w:val="00BB2291"/>
    <w:rsid w:val="00BB25C2"/>
    <w:rsid w:val="00BB4D1D"/>
    <w:rsid w:val="00BB4FE6"/>
    <w:rsid w:val="00BB51CD"/>
    <w:rsid w:val="00BB5439"/>
    <w:rsid w:val="00BB67E9"/>
    <w:rsid w:val="00BD1A1B"/>
    <w:rsid w:val="00BD284C"/>
    <w:rsid w:val="00BD39DC"/>
    <w:rsid w:val="00BE14C6"/>
    <w:rsid w:val="00BE2655"/>
    <w:rsid w:val="00BE49CA"/>
    <w:rsid w:val="00BE4D14"/>
    <w:rsid w:val="00BF2E63"/>
    <w:rsid w:val="00BF3894"/>
    <w:rsid w:val="00BF7862"/>
    <w:rsid w:val="00C02755"/>
    <w:rsid w:val="00C06E7D"/>
    <w:rsid w:val="00C11783"/>
    <w:rsid w:val="00C12165"/>
    <w:rsid w:val="00C12680"/>
    <w:rsid w:val="00C12B5F"/>
    <w:rsid w:val="00C1459C"/>
    <w:rsid w:val="00C22815"/>
    <w:rsid w:val="00C25882"/>
    <w:rsid w:val="00C27B87"/>
    <w:rsid w:val="00C33CBE"/>
    <w:rsid w:val="00C34F25"/>
    <w:rsid w:val="00C354E2"/>
    <w:rsid w:val="00C36204"/>
    <w:rsid w:val="00C36F54"/>
    <w:rsid w:val="00C404EA"/>
    <w:rsid w:val="00C41A18"/>
    <w:rsid w:val="00C4245F"/>
    <w:rsid w:val="00C427A2"/>
    <w:rsid w:val="00C46BFE"/>
    <w:rsid w:val="00C474C8"/>
    <w:rsid w:val="00C51D05"/>
    <w:rsid w:val="00C55C4A"/>
    <w:rsid w:val="00C56289"/>
    <w:rsid w:val="00C6520E"/>
    <w:rsid w:val="00C65250"/>
    <w:rsid w:val="00C6538D"/>
    <w:rsid w:val="00C721EB"/>
    <w:rsid w:val="00C739B8"/>
    <w:rsid w:val="00C75050"/>
    <w:rsid w:val="00C763F5"/>
    <w:rsid w:val="00C7702F"/>
    <w:rsid w:val="00C772A9"/>
    <w:rsid w:val="00C812EE"/>
    <w:rsid w:val="00C81403"/>
    <w:rsid w:val="00C90486"/>
    <w:rsid w:val="00C90EB1"/>
    <w:rsid w:val="00C9270B"/>
    <w:rsid w:val="00C92D3B"/>
    <w:rsid w:val="00C951D8"/>
    <w:rsid w:val="00CA2533"/>
    <w:rsid w:val="00CA5026"/>
    <w:rsid w:val="00CA5FCF"/>
    <w:rsid w:val="00CA70A8"/>
    <w:rsid w:val="00CA748F"/>
    <w:rsid w:val="00CB1677"/>
    <w:rsid w:val="00CB20E2"/>
    <w:rsid w:val="00CB37E3"/>
    <w:rsid w:val="00CB46F1"/>
    <w:rsid w:val="00CB4812"/>
    <w:rsid w:val="00CB7F8D"/>
    <w:rsid w:val="00CC1578"/>
    <w:rsid w:val="00CC22EB"/>
    <w:rsid w:val="00CC36DE"/>
    <w:rsid w:val="00CC3F2E"/>
    <w:rsid w:val="00CC402E"/>
    <w:rsid w:val="00CC490E"/>
    <w:rsid w:val="00CC57F1"/>
    <w:rsid w:val="00CC6907"/>
    <w:rsid w:val="00CD076F"/>
    <w:rsid w:val="00CD0F49"/>
    <w:rsid w:val="00CD5BCC"/>
    <w:rsid w:val="00CD6C91"/>
    <w:rsid w:val="00CD79FB"/>
    <w:rsid w:val="00CE2E51"/>
    <w:rsid w:val="00CE6ED2"/>
    <w:rsid w:val="00CE7BDD"/>
    <w:rsid w:val="00CF1B99"/>
    <w:rsid w:val="00D00811"/>
    <w:rsid w:val="00D024CC"/>
    <w:rsid w:val="00D04BF5"/>
    <w:rsid w:val="00D0683A"/>
    <w:rsid w:val="00D07526"/>
    <w:rsid w:val="00D10FA1"/>
    <w:rsid w:val="00D1181C"/>
    <w:rsid w:val="00D13CD5"/>
    <w:rsid w:val="00D14C61"/>
    <w:rsid w:val="00D15AEB"/>
    <w:rsid w:val="00D163AF"/>
    <w:rsid w:val="00D16FD3"/>
    <w:rsid w:val="00D24200"/>
    <w:rsid w:val="00D2545E"/>
    <w:rsid w:val="00D25A5B"/>
    <w:rsid w:val="00D26D3E"/>
    <w:rsid w:val="00D3228E"/>
    <w:rsid w:val="00D327DE"/>
    <w:rsid w:val="00D36DBF"/>
    <w:rsid w:val="00D37F35"/>
    <w:rsid w:val="00D40478"/>
    <w:rsid w:val="00D415E4"/>
    <w:rsid w:val="00D4212C"/>
    <w:rsid w:val="00D42EA6"/>
    <w:rsid w:val="00D439FE"/>
    <w:rsid w:val="00D457C3"/>
    <w:rsid w:val="00D47F30"/>
    <w:rsid w:val="00D51845"/>
    <w:rsid w:val="00D53A6F"/>
    <w:rsid w:val="00D553A8"/>
    <w:rsid w:val="00D55D39"/>
    <w:rsid w:val="00D56065"/>
    <w:rsid w:val="00D575F9"/>
    <w:rsid w:val="00D57B66"/>
    <w:rsid w:val="00D60D6D"/>
    <w:rsid w:val="00D61ACB"/>
    <w:rsid w:val="00D64D22"/>
    <w:rsid w:val="00D70B5D"/>
    <w:rsid w:val="00D70C84"/>
    <w:rsid w:val="00D71541"/>
    <w:rsid w:val="00D72095"/>
    <w:rsid w:val="00D859B5"/>
    <w:rsid w:val="00D86B2B"/>
    <w:rsid w:val="00D90364"/>
    <w:rsid w:val="00D91626"/>
    <w:rsid w:val="00D92C4E"/>
    <w:rsid w:val="00D94217"/>
    <w:rsid w:val="00D95FF4"/>
    <w:rsid w:val="00D97AD9"/>
    <w:rsid w:val="00DA5245"/>
    <w:rsid w:val="00DB06EB"/>
    <w:rsid w:val="00DB32D2"/>
    <w:rsid w:val="00DB3D9A"/>
    <w:rsid w:val="00DB70ED"/>
    <w:rsid w:val="00DB7E27"/>
    <w:rsid w:val="00DC2A76"/>
    <w:rsid w:val="00DC2FB6"/>
    <w:rsid w:val="00DC7B0B"/>
    <w:rsid w:val="00DD2C18"/>
    <w:rsid w:val="00DD3F7C"/>
    <w:rsid w:val="00DD571D"/>
    <w:rsid w:val="00DE1AE2"/>
    <w:rsid w:val="00DE3A1B"/>
    <w:rsid w:val="00DE6341"/>
    <w:rsid w:val="00DE63AF"/>
    <w:rsid w:val="00DE6548"/>
    <w:rsid w:val="00DE75BD"/>
    <w:rsid w:val="00DF01A2"/>
    <w:rsid w:val="00DF02D6"/>
    <w:rsid w:val="00DF3156"/>
    <w:rsid w:val="00DF3C71"/>
    <w:rsid w:val="00DF40EE"/>
    <w:rsid w:val="00E033A2"/>
    <w:rsid w:val="00E0366D"/>
    <w:rsid w:val="00E037D4"/>
    <w:rsid w:val="00E04C90"/>
    <w:rsid w:val="00E0617E"/>
    <w:rsid w:val="00E071C5"/>
    <w:rsid w:val="00E11045"/>
    <w:rsid w:val="00E11130"/>
    <w:rsid w:val="00E118D5"/>
    <w:rsid w:val="00E1245C"/>
    <w:rsid w:val="00E15340"/>
    <w:rsid w:val="00E17743"/>
    <w:rsid w:val="00E203DE"/>
    <w:rsid w:val="00E207E6"/>
    <w:rsid w:val="00E22AD0"/>
    <w:rsid w:val="00E22E8B"/>
    <w:rsid w:val="00E238A3"/>
    <w:rsid w:val="00E23DEC"/>
    <w:rsid w:val="00E23E47"/>
    <w:rsid w:val="00E2515A"/>
    <w:rsid w:val="00E25DD3"/>
    <w:rsid w:val="00E26E54"/>
    <w:rsid w:val="00E277AD"/>
    <w:rsid w:val="00E303C2"/>
    <w:rsid w:val="00E30E2A"/>
    <w:rsid w:val="00E34274"/>
    <w:rsid w:val="00E34DFA"/>
    <w:rsid w:val="00E37F51"/>
    <w:rsid w:val="00E426DE"/>
    <w:rsid w:val="00E42DA1"/>
    <w:rsid w:val="00E45A21"/>
    <w:rsid w:val="00E46B7E"/>
    <w:rsid w:val="00E46D0C"/>
    <w:rsid w:val="00E51FED"/>
    <w:rsid w:val="00E520E9"/>
    <w:rsid w:val="00E55113"/>
    <w:rsid w:val="00E56E50"/>
    <w:rsid w:val="00E600B2"/>
    <w:rsid w:val="00E61872"/>
    <w:rsid w:val="00E61B59"/>
    <w:rsid w:val="00E61FEE"/>
    <w:rsid w:val="00E65420"/>
    <w:rsid w:val="00E672D7"/>
    <w:rsid w:val="00E75850"/>
    <w:rsid w:val="00E77059"/>
    <w:rsid w:val="00E77813"/>
    <w:rsid w:val="00E86258"/>
    <w:rsid w:val="00E87647"/>
    <w:rsid w:val="00E905D7"/>
    <w:rsid w:val="00E923FE"/>
    <w:rsid w:val="00E94B95"/>
    <w:rsid w:val="00E957FD"/>
    <w:rsid w:val="00E9687C"/>
    <w:rsid w:val="00EA0D3E"/>
    <w:rsid w:val="00EA1652"/>
    <w:rsid w:val="00EA1B2E"/>
    <w:rsid w:val="00EA3A3D"/>
    <w:rsid w:val="00EA3D5C"/>
    <w:rsid w:val="00EA43C2"/>
    <w:rsid w:val="00EA4B02"/>
    <w:rsid w:val="00EA6852"/>
    <w:rsid w:val="00EB04A4"/>
    <w:rsid w:val="00EB0882"/>
    <w:rsid w:val="00EB090F"/>
    <w:rsid w:val="00EB628D"/>
    <w:rsid w:val="00EC451F"/>
    <w:rsid w:val="00EC46F8"/>
    <w:rsid w:val="00EC4E8D"/>
    <w:rsid w:val="00ED196A"/>
    <w:rsid w:val="00ED4C1D"/>
    <w:rsid w:val="00ED5668"/>
    <w:rsid w:val="00ED756E"/>
    <w:rsid w:val="00EE0092"/>
    <w:rsid w:val="00EE0BA3"/>
    <w:rsid w:val="00EE0CBF"/>
    <w:rsid w:val="00EE10A6"/>
    <w:rsid w:val="00EE12F3"/>
    <w:rsid w:val="00EE1E24"/>
    <w:rsid w:val="00EE3CF8"/>
    <w:rsid w:val="00EE6E41"/>
    <w:rsid w:val="00EF1499"/>
    <w:rsid w:val="00EF1FBA"/>
    <w:rsid w:val="00EF21C4"/>
    <w:rsid w:val="00EF2A6B"/>
    <w:rsid w:val="00EF415C"/>
    <w:rsid w:val="00EF4C5A"/>
    <w:rsid w:val="00EF7407"/>
    <w:rsid w:val="00F00D7B"/>
    <w:rsid w:val="00F01E40"/>
    <w:rsid w:val="00F02163"/>
    <w:rsid w:val="00F03940"/>
    <w:rsid w:val="00F0465F"/>
    <w:rsid w:val="00F04F4E"/>
    <w:rsid w:val="00F12F60"/>
    <w:rsid w:val="00F14D2D"/>
    <w:rsid w:val="00F166F8"/>
    <w:rsid w:val="00F177CC"/>
    <w:rsid w:val="00F21580"/>
    <w:rsid w:val="00F22ED5"/>
    <w:rsid w:val="00F277F2"/>
    <w:rsid w:val="00F27CA0"/>
    <w:rsid w:val="00F310DF"/>
    <w:rsid w:val="00F324AF"/>
    <w:rsid w:val="00F325C4"/>
    <w:rsid w:val="00F32F97"/>
    <w:rsid w:val="00F34CC4"/>
    <w:rsid w:val="00F34F9C"/>
    <w:rsid w:val="00F351B4"/>
    <w:rsid w:val="00F37DB6"/>
    <w:rsid w:val="00F404B2"/>
    <w:rsid w:val="00F407F7"/>
    <w:rsid w:val="00F42ACB"/>
    <w:rsid w:val="00F42EC3"/>
    <w:rsid w:val="00F42F2D"/>
    <w:rsid w:val="00F4343F"/>
    <w:rsid w:val="00F444FA"/>
    <w:rsid w:val="00F44DDA"/>
    <w:rsid w:val="00F4525E"/>
    <w:rsid w:val="00F458C7"/>
    <w:rsid w:val="00F47A8A"/>
    <w:rsid w:val="00F5410A"/>
    <w:rsid w:val="00F54A99"/>
    <w:rsid w:val="00F567E3"/>
    <w:rsid w:val="00F609A8"/>
    <w:rsid w:val="00F613A5"/>
    <w:rsid w:val="00F61928"/>
    <w:rsid w:val="00F61EF6"/>
    <w:rsid w:val="00F62567"/>
    <w:rsid w:val="00F64EBF"/>
    <w:rsid w:val="00F65413"/>
    <w:rsid w:val="00F723AA"/>
    <w:rsid w:val="00F731CE"/>
    <w:rsid w:val="00F76909"/>
    <w:rsid w:val="00F772D3"/>
    <w:rsid w:val="00F81564"/>
    <w:rsid w:val="00F82B57"/>
    <w:rsid w:val="00F83CF5"/>
    <w:rsid w:val="00F8548A"/>
    <w:rsid w:val="00F874AB"/>
    <w:rsid w:val="00F93E93"/>
    <w:rsid w:val="00FA1E89"/>
    <w:rsid w:val="00FA2143"/>
    <w:rsid w:val="00FA372B"/>
    <w:rsid w:val="00FA49CB"/>
    <w:rsid w:val="00FA4BF3"/>
    <w:rsid w:val="00FA522A"/>
    <w:rsid w:val="00FA5710"/>
    <w:rsid w:val="00FA588C"/>
    <w:rsid w:val="00FA7384"/>
    <w:rsid w:val="00FB3A0A"/>
    <w:rsid w:val="00FC0B6E"/>
    <w:rsid w:val="00FC16B2"/>
    <w:rsid w:val="00FC2BC9"/>
    <w:rsid w:val="00FC2CE6"/>
    <w:rsid w:val="00FC764F"/>
    <w:rsid w:val="00FD4F7D"/>
    <w:rsid w:val="00FD524B"/>
    <w:rsid w:val="00FD77E7"/>
    <w:rsid w:val="00FE4AE4"/>
    <w:rsid w:val="00FE4F27"/>
    <w:rsid w:val="00FE712B"/>
    <w:rsid w:val="00FF01CA"/>
    <w:rsid w:val="00FF2494"/>
    <w:rsid w:val="00FF3E20"/>
    <w:rsid w:val="00FF4448"/>
    <w:rsid w:val="00FF54B9"/>
    <w:rsid w:val="082011BD"/>
    <w:rsid w:val="09D9536E"/>
    <w:rsid w:val="0C856284"/>
    <w:rsid w:val="115032A8"/>
    <w:rsid w:val="2ABD4763"/>
    <w:rsid w:val="2CC0370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2E5469"/>
  <w15:docId w15:val="{A54C22A9-2B20-4E75-9CE1-47D4CB392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qFormat="1"/>
    <w:lsdException w:name="heading 6" w:qFormat="1"/>
    <w:lsdException w:name="heading 7" w:unhideWhenUsed="1" w:qFormat="1"/>
    <w:lsdException w:name="heading 8" w:semiHidden="1" w:uiPriority="9" w:unhideWhenUsed="1" w:qFormat="1"/>
    <w:lsdException w:name="heading 9" w:qFormat="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uiPriority="99" w:unhideWhenUsed="1" w:qFormat="1"/>
    <w:lsdException w:name="annotation text" w:qFormat="1"/>
    <w:lsdException w:name="header" w:qFormat="1"/>
    <w:lsdException w:name="footer" w:uiPriority="99" w:qFormat="1"/>
    <w:lsdException w:name="caption" w:uiPriority="35" w:unhideWhenUsed="1" w:qFormat="1"/>
    <w:lsdException w:name="footnote reference" w:uiPriority="99" w:unhideWhenUsed="1" w:qFormat="1"/>
    <w:lsdException w:name="annotation reference" w:qFormat="1"/>
    <w:lsdException w:name="page number" w:qFormat="1"/>
    <w:lsdException w:name="endnote text" w:uiPriority="99" w:unhideWhenUsed="1" w:qFormat="1"/>
    <w:lsdException w:name="List Bullet"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Indent 2" w:qFormat="1"/>
    <w:lsdException w:name="Hyperlink" w:uiPriority="99" w:qFormat="1"/>
    <w:lsdException w:name="FollowedHyperlink" w:uiPriority="99" w:unhideWhenUsed="1" w:qFormat="1"/>
    <w:lsdException w:name="Strong" w:qFormat="1"/>
    <w:lsdException w:name="Emphasis" w:uiPriority="20" w:qFormat="1"/>
    <w:lsdException w:name="Plain Text" w:qFormat="1"/>
    <w:lsdException w:name="HTML Top of Form" w:semiHidden="1" w:uiPriority="99" w:unhideWhenUsed="1"/>
    <w:lsdException w:name="HTML Bottom of Form" w:semiHidden="1" w:uiPriority="99" w:unhideWhenUsed="1"/>
    <w:lsdException w:name="Normal (Web)" w:uiPriority="99"/>
    <w:lsdException w:name="HTML Preformatted"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US" w:eastAsia="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lang w:val="ru-RU" w:eastAsia="ru-RU"/>
    </w:rPr>
  </w:style>
  <w:style w:type="paragraph" w:styleId="2">
    <w:name w:val="heading 2"/>
    <w:basedOn w:val="a"/>
    <w:next w:val="a"/>
    <w:link w:val="20"/>
    <w:qFormat/>
    <w:pPr>
      <w:keepNext/>
      <w:spacing w:before="240" w:after="60"/>
      <w:outlineLvl w:val="1"/>
    </w:pPr>
    <w:rPr>
      <w:rFonts w:ascii="Arial" w:hAnsi="Arial" w:cs="Arial"/>
      <w:b/>
      <w:bCs/>
      <w:i/>
      <w:iCs/>
      <w:sz w:val="28"/>
      <w:szCs w:val="28"/>
    </w:rPr>
  </w:style>
  <w:style w:type="paragraph" w:styleId="3">
    <w:name w:val="heading 3"/>
    <w:basedOn w:val="a"/>
    <w:link w:val="30"/>
    <w:qFormat/>
    <w:pPr>
      <w:spacing w:before="100" w:beforeAutospacing="1" w:after="100" w:afterAutospacing="1"/>
      <w:outlineLvl w:val="2"/>
    </w:pPr>
    <w:rPr>
      <w:rFonts w:eastAsia="SimSun"/>
      <w:b/>
      <w:bCs/>
      <w:sz w:val="27"/>
      <w:szCs w:val="27"/>
      <w:lang w:eastAsia="zh-CN"/>
    </w:rPr>
  </w:style>
  <w:style w:type="paragraph" w:styleId="5">
    <w:name w:val="heading 5"/>
    <w:basedOn w:val="a"/>
    <w:next w:val="a"/>
    <w:link w:val="50"/>
    <w:qFormat/>
    <w:pPr>
      <w:spacing w:before="240" w:after="60"/>
      <w:outlineLvl w:val="4"/>
    </w:pPr>
    <w:rPr>
      <w:b/>
      <w:bCs/>
      <w:i/>
      <w:iCs/>
      <w:sz w:val="26"/>
      <w:szCs w:val="26"/>
      <w:lang w:val="ru-RU" w:eastAsia="ru-RU"/>
    </w:rPr>
  </w:style>
  <w:style w:type="paragraph" w:styleId="6">
    <w:name w:val="heading 6"/>
    <w:basedOn w:val="a"/>
    <w:next w:val="a"/>
    <w:link w:val="60"/>
    <w:qFormat/>
    <w:pPr>
      <w:spacing w:before="240" w:after="60"/>
      <w:outlineLvl w:val="5"/>
    </w:pPr>
    <w:rPr>
      <w:b/>
      <w:bCs/>
      <w:sz w:val="22"/>
      <w:szCs w:val="22"/>
      <w:lang w:val="ru-RU" w:eastAsia="ru-RU"/>
    </w:rPr>
  </w:style>
  <w:style w:type="paragraph" w:styleId="7">
    <w:name w:val="heading 7"/>
    <w:basedOn w:val="a"/>
    <w:next w:val="a"/>
    <w:link w:val="70"/>
    <w:unhideWhenUsed/>
    <w:qFormat/>
    <w:pPr>
      <w:spacing w:before="240" w:after="60"/>
      <w:outlineLvl w:val="6"/>
    </w:pPr>
    <w:rPr>
      <w:rFonts w:ascii="Calibri" w:hAnsi="Calibri"/>
      <w:lang w:val="ru-RU" w:eastAsia="ru-RU"/>
    </w:rPr>
  </w:style>
  <w:style w:type="paragraph" w:styleId="8">
    <w:name w:val="heading 8"/>
    <w:basedOn w:val="a"/>
    <w:next w:val="a"/>
    <w:link w:val="80"/>
    <w:uiPriority w:val="9"/>
    <w:semiHidden/>
    <w:unhideWhenUsed/>
    <w:qFormat/>
    <w:pPr>
      <w:spacing w:before="240" w:after="60"/>
      <w:outlineLvl w:val="7"/>
    </w:pPr>
    <w:rPr>
      <w:rFonts w:ascii="Calibri" w:hAnsi="Calibri"/>
      <w:i/>
      <w:iCs/>
      <w:lang w:val="ru-RU" w:eastAsia="ru-RU"/>
    </w:rPr>
  </w:style>
  <w:style w:type="paragraph" w:styleId="9">
    <w:name w:val="heading 9"/>
    <w:basedOn w:val="a"/>
    <w:next w:val="a"/>
    <w:link w:val="90"/>
    <w:qFormat/>
    <w:pPr>
      <w:spacing w:before="240" w:after="60"/>
      <w:outlineLvl w:val="8"/>
    </w:pPr>
    <w:rPr>
      <w:rFonts w:ascii="Cambria" w:hAnsi="Cambria" w:cs="Cambria"/>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qFormat/>
    <w:rPr>
      <w:rFonts w:ascii="Arial" w:hAnsi="Arial" w:cs="Arial"/>
      <w:b/>
      <w:bCs/>
      <w:i/>
      <w:iCs/>
      <w:sz w:val="28"/>
      <w:szCs w:val="28"/>
      <w:lang w:val="en-US" w:eastAsia="en-US"/>
    </w:rPr>
  </w:style>
  <w:style w:type="character" w:customStyle="1" w:styleId="30">
    <w:name w:val="Заголовок 3 Знак"/>
    <w:basedOn w:val="a0"/>
    <w:link w:val="3"/>
    <w:qFormat/>
    <w:rPr>
      <w:rFonts w:eastAsia="SimSun"/>
      <w:b/>
      <w:bCs/>
      <w:sz w:val="27"/>
      <w:szCs w:val="27"/>
      <w:lang w:val="en-US" w:eastAsia="zh-CN"/>
    </w:rPr>
  </w:style>
  <w:style w:type="character" w:customStyle="1" w:styleId="50">
    <w:name w:val="Заголовок 5 Знак"/>
    <w:basedOn w:val="a0"/>
    <w:link w:val="5"/>
    <w:qFormat/>
    <w:rPr>
      <w:b/>
      <w:bCs/>
      <w:i/>
      <w:iCs/>
      <w:sz w:val="26"/>
      <w:szCs w:val="26"/>
    </w:rPr>
  </w:style>
  <w:style w:type="character" w:customStyle="1" w:styleId="60">
    <w:name w:val="Заголовок 6 Знак"/>
    <w:basedOn w:val="a0"/>
    <w:link w:val="6"/>
    <w:qFormat/>
    <w:rPr>
      <w:b/>
      <w:bCs/>
      <w:sz w:val="22"/>
      <w:szCs w:val="22"/>
    </w:rPr>
  </w:style>
  <w:style w:type="character" w:customStyle="1" w:styleId="70">
    <w:name w:val="Заголовок 7 Знак"/>
    <w:basedOn w:val="a0"/>
    <w:link w:val="7"/>
    <w:qFormat/>
    <w:rPr>
      <w:rFonts w:ascii="Calibri" w:hAnsi="Calibri"/>
      <w:sz w:val="24"/>
      <w:szCs w:val="24"/>
    </w:rPr>
  </w:style>
  <w:style w:type="character" w:customStyle="1" w:styleId="80">
    <w:name w:val="Заголовок 8 Знак"/>
    <w:basedOn w:val="a0"/>
    <w:link w:val="8"/>
    <w:uiPriority w:val="9"/>
    <w:semiHidden/>
    <w:qFormat/>
    <w:rPr>
      <w:rFonts w:ascii="Calibri" w:hAnsi="Calibri"/>
      <w:i/>
      <w:iCs/>
      <w:sz w:val="24"/>
      <w:szCs w:val="24"/>
    </w:rPr>
  </w:style>
  <w:style w:type="character" w:customStyle="1" w:styleId="90">
    <w:name w:val="Заголовок 9 Знак"/>
    <w:basedOn w:val="a0"/>
    <w:link w:val="9"/>
    <w:qFormat/>
    <w:rPr>
      <w:rFonts w:ascii="Cambria" w:hAnsi="Cambria" w:cs="Cambria"/>
      <w:sz w:val="22"/>
      <w:szCs w:val="22"/>
    </w:rPr>
  </w:style>
  <w:style w:type="paragraph" w:styleId="a3">
    <w:name w:val="Balloon Text"/>
    <w:basedOn w:val="a"/>
    <w:link w:val="a4"/>
    <w:uiPriority w:val="99"/>
    <w:semiHidden/>
    <w:qFormat/>
    <w:rPr>
      <w:rFonts w:ascii="Tahoma" w:hAnsi="Tahoma" w:cs="Tahoma"/>
      <w:sz w:val="16"/>
      <w:szCs w:val="16"/>
    </w:rPr>
  </w:style>
  <w:style w:type="character" w:customStyle="1" w:styleId="a4">
    <w:name w:val="Текст выноски Знак"/>
    <w:basedOn w:val="a0"/>
    <w:link w:val="a3"/>
    <w:uiPriority w:val="99"/>
    <w:semiHidden/>
    <w:qFormat/>
    <w:rPr>
      <w:rFonts w:ascii="Tahoma" w:hAnsi="Tahoma" w:cs="Tahoma"/>
      <w:sz w:val="16"/>
      <w:szCs w:val="16"/>
      <w:lang w:val="en-US" w:eastAsia="en-US"/>
    </w:rPr>
  </w:style>
  <w:style w:type="paragraph" w:styleId="a5">
    <w:name w:val="Body Text"/>
    <w:basedOn w:val="a"/>
    <w:link w:val="a6"/>
    <w:qFormat/>
    <w:pPr>
      <w:tabs>
        <w:tab w:val="left" w:pos="10440"/>
      </w:tabs>
      <w:jc w:val="center"/>
    </w:pPr>
    <w:rPr>
      <w:sz w:val="28"/>
      <w:lang w:val="ru-RU" w:eastAsia="ru-RU"/>
    </w:rPr>
  </w:style>
  <w:style w:type="character" w:customStyle="1" w:styleId="a6">
    <w:name w:val="Основной текст Знак"/>
    <w:basedOn w:val="a0"/>
    <w:link w:val="a5"/>
    <w:qFormat/>
    <w:rPr>
      <w:sz w:val="28"/>
      <w:szCs w:val="24"/>
    </w:rPr>
  </w:style>
  <w:style w:type="paragraph" w:styleId="a7">
    <w:name w:val="Body Text Indent"/>
    <w:basedOn w:val="a"/>
    <w:link w:val="a8"/>
    <w:qFormat/>
    <w:pPr>
      <w:spacing w:after="120"/>
      <w:ind w:left="283"/>
    </w:pPr>
    <w:rPr>
      <w:lang w:val="ru-RU" w:eastAsia="ru-RU"/>
    </w:rPr>
  </w:style>
  <w:style w:type="character" w:customStyle="1" w:styleId="a8">
    <w:name w:val="Основной текст с отступом Знак"/>
    <w:basedOn w:val="a0"/>
    <w:link w:val="a7"/>
    <w:qFormat/>
    <w:rPr>
      <w:sz w:val="24"/>
      <w:szCs w:val="24"/>
    </w:rPr>
  </w:style>
  <w:style w:type="paragraph" w:styleId="21">
    <w:name w:val="Body Text Indent 2"/>
    <w:basedOn w:val="a"/>
    <w:link w:val="22"/>
    <w:qFormat/>
    <w:pPr>
      <w:spacing w:after="120" w:line="480" w:lineRule="auto"/>
      <w:ind w:left="283"/>
    </w:pPr>
    <w:rPr>
      <w:lang w:val="ru-RU" w:eastAsia="ru-RU"/>
    </w:rPr>
  </w:style>
  <w:style w:type="character" w:customStyle="1" w:styleId="22">
    <w:name w:val="Основной текст с отступом 2 Знак"/>
    <w:basedOn w:val="a0"/>
    <w:link w:val="21"/>
    <w:qFormat/>
    <w:rPr>
      <w:sz w:val="24"/>
      <w:szCs w:val="24"/>
    </w:rPr>
  </w:style>
  <w:style w:type="paragraph" w:styleId="a9">
    <w:name w:val="caption"/>
    <w:basedOn w:val="a"/>
    <w:next w:val="a"/>
    <w:uiPriority w:val="35"/>
    <w:unhideWhenUsed/>
    <w:qFormat/>
    <w:rPr>
      <w:b/>
      <w:bCs/>
      <w:sz w:val="20"/>
      <w:szCs w:val="20"/>
      <w:lang w:val="ru-RU" w:eastAsia="ru-RU"/>
    </w:rPr>
  </w:style>
  <w:style w:type="character" w:styleId="aa">
    <w:name w:val="annotation reference"/>
    <w:basedOn w:val="a0"/>
    <w:qFormat/>
    <w:rPr>
      <w:sz w:val="16"/>
      <w:szCs w:val="16"/>
    </w:rPr>
  </w:style>
  <w:style w:type="paragraph" w:styleId="ab">
    <w:name w:val="annotation text"/>
    <w:basedOn w:val="a"/>
    <w:link w:val="ac"/>
    <w:qFormat/>
    <w:rPr>
      <w:rFonts w:eastAsia="SimSun"/>
      <w:sz w:val="20"/>
      <w:szCs w:val="20"/>
      <w:lang w:eastAsia="zh-CN"/>
    </w:rPr>
  </w:style>
  <w:style w:type="character" w:customStyle="1" w:styleId="ac">
    <w:name w:val="Текст примечания Знак"/>
    <w:link w:val="ab"/>
    <w:qFormat/>
    <w:rPr>
      <w:rFonts w:eastAsia="SimSun"/>
      <w:lang w:val="en-US" w:eastAsia="zh-CN" w:bidi="ar-SA"/>
    </w:rPr>
  </w:style>
  <w:style w:type="paragraph" w:styleId="ad">
    <w:name w:val="annotation subject"/>
    <w:basedOn w:val="ab"/>
    <w:next w:val="ab"/>
    <w:link w:val="ae"/>
    <w:uiPriority w:val="99"/>
    <w:qFormat/>
    <w:rPr>
      <w:rFonts w:eastAsia="Times New Roman"/>
      <w:b/>
      <w:bCs/>
      <w:lang w:eastAsia="en-US"/>
    </w:rPr>
  </w:style>
  <w:style w:type="character" w:customStyle="1" w:styleId="ae">
    <w:name w:val="Тема примечания Знак"/>
    <w:link w:val="ad"/>
    <w:uiPriority w:val="99"/>
    <w:qFormat/>
    <w:rPr>
      <w:rFonts w:eastAsia="SimSun"/>
      <w:b/>
      <w:bCs/>
      <w:lang w:val="en-US" w:eastAsia="en-US" w:bidi="ar-SA"/>
    </w:rPr>
  </w:style>
  <w:style w:type="paragraph" w:styleId="af">
    <w:name w:val="endnote text"/>
    <w:basedOn w:val="a"/>
    <w:link w:val="af0"/>
    <w:uiPriority w:val="99"/>
    <w:unhideWhenUsed/>
    <w:qFormat/>
    <w:rPr>
      <w:sz w:val="20"/>
      <w:szCs w:val="20"/>
      <w:lang w:val="ru-RU" w:eastAsia="ru-RU"/>
    </w:rPr>
  </w:style>
  <w:style w:type="character" w:customStyle="1" w:styleId="af0">
    <w:name w:val="Текст концевой сноски Знак"/>
    <w:basedOn w:val="a0"/>
    <w:link w:val="af"/>
    <w:uiPriority w:val="99"/>
    <w:qFormat/>
  </w:style>
  <w:style w:type="character" w:styleId="af1">
    <w:name w:val="FollowedHyperlink"/>
    <w:basedOn w:val="a0"/>
    <w:uiPriority w:val="99"/>
    <w:unhideWhenUsed/>
    <w:qFormat/>
    <w:rPr>
      <w:color w:val="954F72" w:themeColor="followedHyperlink"/>
      <w:u w:val="single"/>
    </w:rPr>
  </w:style>
  <w:style w:type="paragraph" w:styleId="af2">
    <w:name w:val="footer"/>
    <w:basedOn w:val="a"/>
    <w:link w:val="af3"/>
    <w:uiPriority w:val="99"/>
    <w:qFormat/>
    <w:pPr>
      <w:tabs>
        <w:tab w:val="center" w:pos="4320"/>
        <w:tab w:val="right" w:pos="8640"/>
      </w:tabs>
    </w:pPr>
  </w:style>
  <w:style w:type="character" w:customStyle="1" w:styleId="af3">
    <w:name w:val="Нижний колонтитул Знак"/>
    <w:link w:val="af2"/>
    <w:uiPriority w:val="99"/>
    <w:qFormat/>
    <w:rPr>
      <w:sz w:val="24"/>
      <w:szCs w:val="24"/>
      <w:lang w:val="en-US" w:eastAsia="en-US"/>
    </w:rPr>
  </w:style>
  <w:style w:type="character" w:styleId="af4">
    <w:name w:val="footnote reference"/>
    <w:basedOn w:val="a0"/>
    <w:uiPriority w:val="99"/>
    <w:unhideWhenUsed/>
    <w:qFormat/>
    <w:rPr>
      <w:vertAlign w:val="superscript"/>
    </w:rPr>
  </w:style>
  <w:style w:type="paragraph" w:styleId="af5">
    <w:name w:val="footnote text"/>
    <w:basedOn w:val="a"/>
    <w:link w:val="af6"/>
    <w:uiPriority w:val="99"/>
    <w:unhideWhenUsed/>
    <w:qFormat/>
    <w:rPr>
      <w:sz w:val="20"/>
      <w:szCs w:val="20"/>
      <w:lang w:val="ru-RU" w:eastAsia="ru-RU"/>
    </w:rPr>
  </w:style>
  <w:style w:type="character" w:customStyle="1" w:styleId="af6">
    <w:name w:val="Текст сноски Знак"/>
    <w:basedOn w:val="a0"/>
    <w:link w:val="af5"/>
    <w:uiPriority w:val="99"/>
    <w:qFormat/>
  </w:style>
  <w:style w:type="paragraph" w:styleId="af7">
    <w:name w:val="header"/>
    <w:basedOn w:val="a"/>
    <w:link w:val="af8"/>
    <w:qFormat/>
    <w:pPr>
      <w:tabs>
        <w:tab w:val="center" w:pos="4677"/>
        <w:tab w:val="right" w:pos="9355"/>
      </w:tabs>
    </w:pPr>
  </w:style>
  <w:style w:type="character" w:customStyle="1" w:styleId="af8">
    <w:name w:val="Верхний колонтитул Знак"/>
    <w:link w:val="af7"/>
    <w:qFormat/>
    <w:rPr>
      <w:sz w:val="24"/>
      <w:szCs w:val="24"/>
      <w:lang w:val="en-US" w:eastAsia="en-US"/>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ru-RU" w:eastAsia="ru-RU"/>
    </w:rPr>
  </w:style>
  <w:style w:type="character" w:customStyle="1" w:styleId="HTML0">
    <w:name w:val="Стандартный HTML Знак"/>
    <w:basedOn w:val="a0"/>
    <w:link w:val="HTML"/>
    <w:qFormat/>
    <w:rPr>
      <w:rFonts w:ascii="Courier New" w:hAnsi="Courier New" w:cs="Courier New"/>
      <w:color w:val="000000"/>
    </w:rPr>
  </w:style>
  <w:style w:type="character" w:styleId="af9">
    <w:name w:val="Hyperlink"/>
    <w:uiPriority w:val="99"/>
    <w:qFormat/>
    <w:rPr>
      <w:color w:val="0000FF"/>
      <w:u w:val="single"/>
    </w:rPr>
  </w:style>
  <w:style w:type="paragraph" w:styleId="23">
    <w:name w:val="List 2"/>
    <w:basedOn w:val="a"/>
    <w:qFormat/>
    <w:pPr>
      <w:ind w:left="566" w:hanging="283"/>
    </w:pPr>
    <w:rPr>
      <w:lang w:val="ru-RU" w:eastAsia="ru-RU"/>
    </w:rPr>
  </w:style>
  <w:style w:type="paragraph" w:styleId="afa">
    <w:name w:val="List Bullet"/>
    <w:basedOn w:val="a"/>
    <w:autoRedefine/>
    <w:qFormat/>
    <w:pPr>
      <w:tabs>
        <w:tab w:val="left" w:pos="786"/>
      </w:tabs>
      <w:ind w:left="786" w:hanging="360"/>
    </w:pPr>
    <w:rPr>
      <w:lang w:eastAsia="ru-RU"/>
    </w:rPr>
  </w:style>
  <w:style w:type="paragraph" w:styleId="afb">
    <w:name w:val="Normal Indent"/>
    <w:basedOn w:val="a"/>
    <w:qFormat/>
    <w:pPr>
      <w:ind w:left="708"/>
    </w:pPr>
    <w:rPr>
      <w:lang w:val="ru-RU" w:eastAsia="ru-RU"/>
    </w:rPr>
  </w:style>
  <w:style w:type="character" w:styleId="afc">
    <w:name w:val="page number"/>
    <w:qFormat/>
  </w:style>
  <w:style w:type="paragraph" w:styleId="afd">
    <w:name w:val="Plain Text"/>
    <w:basedOn w:val="a"/>
    <w:link w:val="afe"/>
    <w:qFormat/>
    <w:rPr>
      <w:rFonts w:ascii="Courier New" w:hAnsi="Courier New" w:cs="Courier New"/>
      <w:sz w:val="20"/>
      <w:szCs w:val="20"/>
      <w:lang w:val="ru-RU" w:eastAsia="ru-RU"/>
    </w:rPr>
  </w:style>
  <w:style w:type="character" w:customStyle="1" w:styleId="afe">
    <w:name w:val="Текст Знак"/>
    <w:basedOn w:val="a0"/>
    <w:link w:val="afd"/>
    <w:qFormat/>
    <w:rPr>
      <w:rFonts w:ascii="Courier New" w:hAnsi="Courier New" w:cs="Courier New"/>
    </w:rPr>
  </w:style>
  <w:style w:type="character" w:styleId="aff">
    <w:name w:val="Strong"/>
    <w:qFormat/>
    <w:rPr>
      <w:b/>
      <w:bCs/>
    </w:rPr>
  </w:style>
  <w:style w:type="table" w:styleId="aff0">
    <w:name w:val="Table Grid"/>
    <w:basedOn w:val="a1"/>
    <w:uiPriority w:val="59"/>
    <w:qFormat/>
    <w:pPr>
      <w:bidi/>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
    <w:link w:val="aff2"/>
    <w:qFormat/>
    <w:pPr>
      <w:jc w:val="center"/>
    </w:pPr>
    <w:rPr>
      <w:b/>
      <w:bCs/>
      <w:sz w:val="28"/>
      <w:szCs w:val="28"/>
      <w:lang w:val="ru-RU" w:eastAsia="ru-RU"/>
    </w:rPr>
  </w:style>
  <w:style w:type="character" w:customStyle="1" w:styleId="aff2">
    <w:name w:val="Заголовок Знак"/>
    <w:basedOn w:val="a0"/>
    <w:link w:val="aff1"/>
    <w:qFormat/>
    <w:rPr>
      <w:b/>
      <w:bCs/>
      <w:sz w:val="28"/>
      <w:szCs w:val="28"/>
    </w:rPr>
  </w:style>
  <w:style w:type="paragraph" w:styleId="11">
    <w:name w:val="toc 1"/>
    <w:basedOn w:val="a"/>
    <w:next w:val="a"/>
    <w:autoRedefine/>
    <w:uiPriority w:val="39"/>
    <w:unhideWhenUsed/>
    <w:qFormat/>
    <w:pPr>
      <w:spacing w:after="100"/>
    </w:pPr>
    <w:rPr>
      <w:lang w:val="ru-RU" w:eastAsia="ru-RU"/>
    </w:rPr>
  </w:style>
  <w:style w:type="paragraph" w:styleId="24">
    <w:name w:val="toc 2"/>
    <w:basedOn w:val="a"/>
    <w:next w:val="a"/>
    <w:autoRedefine/>
    <w:uiPriority w:val="39"/>
    <w:unhideWhenUsed/>
    <w:qFormat/>
    <w:pPr>
      <w:spacing w:after="100"/>
      <w:ind w:left="240"/>
    </w:pPr>
    <w:rPr>
      <w:lang w:val="ru-RU" w:eastAsia="ru-RU"/>
    </w:rPr>
  </w:style>
  <w:style w:type="paragraph" w:styleId="31">
    <w:name w:val="toc 3"/>
    <w:basedOn w:val="a"/>
    <w:next w:val="a"/>
    <w:autoRedefine/>
    <w:uiPriority w:val="39"/>
    <w:unhideWhenUsed/>
    <w:qFormat/>
    <w:pPr>
      <w:spacing w:after="100"/>
      <w:ind w:left="480"/>
    </w:pPr>
    <w:rPr>
      <w:lang w:val="ru-RU" w:eastAsia="ru-RU"/>
    </w:rPr>
  </w:style>
  <w:style w:type="paragraph" w:styleId="4">
    <w:name w:val="toc 4"/>
    <w:basedOn w:val="a"/>
    <w:next w:val="a"/>
    <w:autoRedefine/>
    <w:uiPriority w:val="39"/>
    <w:unhideWhenUsed/>
    <w:qFormat/>
    <w:pPr>
      <w:spacing w:after="100"/>
      <w:ind w:left="720"/>
    </w:pPr>
    <w:rPr>
      <w:lang w:val="ru-RU" w:eastAsia="ru-RU"/>
    </w:rPr>
  </w:style>
  <w:style w:type="paragraph" w:styleId="51">
    <w:name w:val="toc 5"/>
    <w:basedOn w:val="a"/>
    <w:next w:val="a"/>
    <w:autoRedefine/>
    <w:uiPriority w:val="39"/>
    <w:unhideWhenUsed/>
    <w:qFormat/>
    <w:pPr>
      <w:spacing w:after="100" w:line="276" w:lineRule="auto"/>
      <w:ind w:left="880"/>
    </w:pPr>
    <w:rPr>
      <w:rFonts w:asciiTheme="minorHAnsi" w:eastAsiaTheme="minorEastAsia" w:hAnsiTheme="minorHAnsi" w:cstheme="minorBidi"/>
      <w:sz w:val="22"/>
      <w:szCs w:val="22"/>
      <w:lang w:val="ru-RU" w:eastAsia="ru-RU"/>
    </w:rPr>
  </w:style>
  <w:style w:type="paragraph" w:styleId="61">
    <w:name w:val="toc 6"/>
    <w:basedOn w:val="a"/>
    <w:next w:val="a"/>
    <w:autoRedefine/>
    <w:uiPriority w:val="39"/>
    <w:unhideWhenUsed/>
    <w:qFormat/>
    <w:pPr>
      <w:spacing w:after="100" w:line="276" w:lineRule="auto"/>
      <w:ind w:left="1100"/>
    </w:pPr>
    <w:rPr>
      <w:rFonts w:asciiTheme="minorHAnsi" w:eastAsiaTheme="minorEastAsia" w:hAnsiTheme="minorHAnsi" w:cstheme="minorBidi"/>
      <w:sz w:val="22"/>
      <w:szCs w:val="22"/>
      <w:lang w:val="ru-RU" w:eastAsia="ru-RU"/>
    </w:rPr>
  </w:style>
  <w:style w:type="paragraph" w:styleId="71">
    <w:name w:val="toc 7"/>
    <w:basedOn w:val="a"/>
    <w:next w:val="a"/>
    <w:autoRedefine/>
    <w:uiPriority w:val="39"/>
    <w:unhideWhenUsed/>
    <w:qFormat/>
    <w:pPr>
      <w:spacing w:after="100" w:line="276" w:lineRule="auto"/>
      <w:ind w:left="1320"/>
    </w:pPr>
    <w:rPr>
      <w:rFonts w:asciiTheme="minorHAnsi" w:eastAsiaTheme="minorEastAsia" w:hAnsiTheme="minorHAnsi" w:cstheme="minorBidi"/>
      <w:sz w:val="22"/>
      <w:szCs w:val="22"/>
      <w:lang w:val="ru-RU" w:eastAsia="ru-RU"/>
    </w:rPr>
  </w:style>
  <w:style w:type="paragraph" w:styleId="81">
    <w:name w:val="toc 8"/>
    <w:basedOn w:val="a"/>
    <w:next w:val="a"/>
    <w:autoRedefine/>
    <w:uiPriority w:val="39"/>
    <w:unhideWhenUsed/>
    <w:qFormat/>
    <w:pPr>
      <w:spacing w:after="100" w:line="276" w:lineRule="auto"/>
      <w:ind w:left="1540"/>
    </w:pPr>
    <w:rPr>
      <w:rFonts w:asciiTheme="minorHAnsi" w:eastAsiaTheme="minorEastAsia" w:hAnsiTheme="minorHAnsi" w:cstheme="minorBidi"/>
      <w:sz w:val="22"/>
      <w:szCs w:val="22"/>
      <w:lang w:val="ru-RU" w:eastAsia="ru-RU"/>
    </w:rPr>
  </w:style>
  <w:style w:type="paragraph" w:styleId="91">
    <w:name w:val="toc 9"/>
    <w:basedOn w:val="a"/>
    <w:next w:val="a"/>
    <w:autoRedefine/>
    <w:uiPriority w:val="39"/>
    <w:unhideWhenUsed/>
    <w:qFormat/>
    <w:pPr>
      <w:spacing w:after="100" w:line="276" w:lineRule="auto"/>
      <w:ind w:left="1760"/>
    </w:pPr>
    <w:rPr>
      <w:rFonts w:asciiTheme="minorHAnsi" w:eastAsiaTheme="minorEastAsia" w:hAnsiTheme="minorHAnsi" w:cstheme="minorBidi"/>
      <w:sz w:val="22"/>
      <w:szCs w:val="22"/>
      <w:lang w:val="ru-RU" w:eastAsia="ru-RU"/>
    </w:rPr>
  </w:style>
  <w:style w:type="paragraph" w:customStyle="1" w:styleId="12">
    <w:name w:val="Обычный (веб)1"/>
    <w:basedOn w:val="a"/>
    <w:uiPriority w:val="99"/>
    <w:qFormat/>
    <w:pPr>
      <w:spacing w:before="100" w:beforeAutospacing="1" w:after="100" w:afterAutospacing="1"/>
    </w:pPr>
    <w:rPr>
      <w:rFonts w:eastAsia="SimSun"/>
      <w:lang w:eastAsia="zh-CN"/>
    </w:rPr>
  </w:style>
  <w:style w:type="paragraph" w:customStyle="1" w:styleId="EndNoteBibliography">
    <w:name w:val="EndNote Bibliography"/>
    <w:basedOn w:val="a"/>
    <w:qFormat/>
    <w:pPr>
      <w:autoSpaceDE w:val="0"/>
      <w:autoSpaceDN w:val="0"/>
      <w:adjustRightInd w:val="0"/>
    </w:pPr>
    <w:rPr>
      <w:rFonts w:eastAsia="SimSun"/>
      <w:color w:val="FF0000"/>
      <w:szCs w:val="20"/>
      <w:lang w:eastAsia="zh-CN"/>
    </w:rPr>
  </w:style>
  <w:style w:type="character" w:customStyle="1" w:styleId="current-selection">
    <w:name w:val="current-selection"/>
    <w:qFormat/>
  </w:style>
  <w:style w:type="paragraph" w:customStyle="1" w:styleId="NormalArial">
    <w:name w:val="Normal + Arial"/>
    <w:basedOn w:val="a"/>
    <w:qFormat/>
    <w:rPr>
      <w:rFonts w:ascii="Arial" w:eastAsia="SimSun" w:hAnsi="Arial" w:cs="Arial"/>
      <w:sz w:val="20"/>
      <w:szCs w:val="20"/>
      <w:lang w:eastAsia="zh-CN"/>
    </w:rPr>
  </w:style>
  <w:style w:type="paragraph" w:customStyle="1" w:styleId="EndNoteBibliographyTitle">
    <w:name w:val="EndNote Bibliography Title"/>
    <w:basedOn w:val="a"/>
    <w:qFormat/>
    <w:pPr>
      <w:ind w:firstLine="720"/>
    </w:pPr>
    <w:rPr>
      <w:color w:val="FF0000"/>
      <w:lang w:bidi="he-IL"/>
    </w:rPr>
  </w:style>
  <w:style w:type="character" w:customStyle="1" w:styleId="label">
    <w:name w:val="label"/>
    <w:qFormat/>
    <w:rPr>
      <w:rFonts w:cs="Times New Roman"/>
    </w:rPr>
  </w:style>
  <w:style w:type="character" w:customStyle="1" w:styleId="ipanopopupsnoexcerpt">
    <w:name w:val="ipa nopopups noexcerpt"/>
    <w:qFormat/>
  </w:style>
  <w:style w:type="character" w:customStyle="1" w:styleId="cards-replacementslabels-fullsentencedelete">
    <w:name w:val="cards-replacements_labels-fullsentencedelete"/>
    <w:qFormat/>
  </w:style>
  <w:style w:type="character" w:customStyle="1" w:styleId="cards-replacementslabels-fullsentenceinsertpunctuation">
    <w:name w:val="cards-replacements_labels-fullsentenceinsertpunctuation"/>
    <w:qFormat/>
  </w:style>
  <w:style w:type="character" w:customStyle="1" w:styleId="cards-replacementslabels-fullsentenceinsert">
    <w:name w:val="cards-replacements_labels-fullsentenceinsert"/>
    <w:qFormat/>
  </w:style>
  <w:style w:type="character" w:customStyle="1" w:styleId="13">
    <w:name w:val="Неразрешенное упоминание1"/>
    <w:uiPriority w:val="99"/>
    <w:unhideWhenUsed/>
    <w:qFormat/>
    <w:rPr>
      <w:color w:val="605E5C"/>
      <w:shd w:val="clear" w:color="auto" w:fill="E1DFDD"/>
    </w:rPr>
  </w:style>
  <w:style w:type="paragraph" w:customStyle="1" w:styleId="14">
    <w:name w:val="Рецензия1"/>
    <w:uiPriority w:val="99"/>
    <w:semiHidden/>
    <w:qFormat/>
    <w:rPr>
      <w:sz w:val="24"/>
      <w:szCs w:val="24"/>
      <w:lang w:val="en-US" w:eastAsia="en-US"/>
    </w:rPr>
  </w:style>
  <w:style w:type="paragraph" w:customStyle="1" w:styleId="Default">
    <w:name w:val="Default"/>
    <w:qFormat/>
    <w:pPr>
      <w:autoSpaceDE w:val="0"/>
      <w:autoSpaceDN w:val="0"/>
      <w:adjustRightInd w:val="0"/>
    </w:pPr>
    <w:rPr>
      <w:rFonts w:ascii="Calibri" w:eastAsia="Calibri" w:hAnsi="Calibri" w:cs="Calibri"/>
      <w:color w:val="000000"/>
      <w:sz w:val="24"/>
      <w:szCs w:val="24"/>
    </w:rPr>
  </w:style>
  <w:style w:type="paragraph" w:customStyle="1" w:styleId="aff3">
    <w:name w:val="正文"/>
    <w:qFormat/>
    <w:rPr>
      <w:rFonts w:ascii="Calibri" w:hAnsi="Calibri" w:cs="Calibri"/>
      <w:sz w:val="24"/>
      <w:szCs w:val="24"/>
      <w:lang w:val="en-US" w:eastAsia="zh-CN"/>
    </w:rPr>
  </w:style>
  <w:style w:type="paragraph" w:styleId="aff4">
    <w:name w:val="List Paragraph"/>
    <w:basedOn w:val="a"/>
    <w:uiPriority w:val="34"/>
    <w:qFormat/>
    <w:pPr>
      <w:ind w:left="720"/>
      <w:contextualSpacing/>
    </w:pPr>
    <w:rPr>
      <w:lang w:eastAsia="ru-RU"/>
    </w:rPr>
  </w:style>
  <w:style w:type="character" w:customStyle="1" w:styleId="110">
    <w:name w:val="Неразрешенное упоминание11"/>
    <w:basedOn w:val="a0"/>
    <w:uiPriority w:val="99"/>
    <w:semiHidden/>
    <w:unhideWhenUsed/>
    <w:qFormat/>
    <w:rPr>
      <w:color w:val="605E5C"/>
      <w:shd w:val="clear" w:color="auto" w:fill="E1DFDD"/>
    </w:rPr>
  </w:style>
  <w:style w:type="character" w:customStyle="1" w:styleId="25">
    <w:name w:val="Неразрешенное упоминание2"/>
    <w:basedOn w:val="a0"/>
    <w:uiPriority w:val="99"/>
    <w:semiHidden/>
    <w:unhideWhenUsed/>
    <w:qFormat/>
    <w:rPr>
      <w:color w:val="605E5C"/>
      <w:shd w:val="clear" w:color="auto" w:fill="E1DFDD"/>
    </w:rPr>
  </w:style>
  <w:style w:type="character" w:customStyle="1" w:styleId="32">
    <w:name w:val="Неразрешенное упоминание3"/>
    <w:basedOn w:val="a0"/>
    <w:uiPriority w:val="99"/>
    <w:semiHidden/>
    <w:unhideWhenUsed/>
    <w:qFormat/>
    <w:rPr>
      <w:color w:val="605E5C"/>
      <w:shd w:val="clear" w:color="auto" w:fill="E1DFDD"/>
    </w:rPr>
  </w:style>
  <w:style w:type="paragraph" w:customStyle="1" w:styleId="aff5">
    <w:name w:val="Знак Знак Знак Знак"/>
    <w:basedOn w:val="a"/>
    <w:autoRedefine/>
    <w:qFormat/>
    <w:pPr>
      <w:spacing w:after="160" w:line="240" w:lineRule="exact"/>
    </w:pPr>
    <w:rPr>
      <w:sz w:val="28"/>
      <w:szCs w:val="20"/>
    </w:rPr>
  </w:style>
  <w:style w:type="paragraph" w:customStyle="1" w:styleId="33">
    <w:name w:val="Знак Знак Знак Знак3"/>
    <w:basedOn w:val="a"/>
    <w:autoRedefine/>
    <w:qFormat/>
    <w:pPr>
      <w:spacing w:after="160" w:line="240" w:lineRule="exact"/>
    </w:pPr>
    <w:rPr>
      <w:sz w:val="28"/>
      <w:szCs w:val="20"/>
    </w:rPr>
  </w:style>
  <w:style w:type="paragraph" w:customStyle="1" w:styleId="26">
    <w:name w:val="Знак Знак Знак Знак2"/>
    <w:basedOn w:val="a"/>
    <w:autoRedefine/>
    <w:qFormat/>
    <w:pPr>
      <w:spacing w:after="160" w:line="240" w:lineRule="exact"/>
    </w:pPr>
    <w:rPr>
      <w:sz w:val="28"/>
      <w:szCs w:val="20"/>
    </w:rPr>
  </w:style>
  <w:style w:type="paragraph" w:customStyle="1" w:styleId="1jovik">
    <w:name w:val="1 jovik"/>
    <w:basedOn w:val="a"/>
    <w:link w:val="1jovik0"/>
    <w:qFormat/>
    <w:pPr>
      <w:spacing w:before="120" w:after="120"/>
      <w:jc w:val="center"/>
    </w:pPr>
    <w:rPr>
      <w:b/>
      <w:bCs/>
      <w:sz w:val="22"/>
      <w:szCs w:val="22"/>
      <w:lang w:eastAsia="ru-RU"/>
    </w:rPr>
  </w:style>
  <w:style w:type="character" w:customStyle="1" w:styleId="1jovik0">
    <w:name w:val="1 jovik Знак"/>
    <w:link w:val="1jovik"/>
    <w:qFormat/>
    <w:locked/>
    <w:rPr>
      <w:b/>
      <w:bCs/>
      <w:sz w:val="22"/>
      <w:szCs w:val="22"/>
      <w:lang w:val="en-US"/>
    </w:rPr>
  </w:style>
  <w:style w:type="character" w:customStyle="1" w:styleId="15">
    <w:name w:val="Текст примечания Знак1"/>
    <w:basedOn w:val="a0"/>
    <w:uiPriority w:val="99"/>
    <w:semiHidden/>
    <w:qFormat/>
    <w:rPr>
      <w:rFonts w:ascii="Times New Roman" w:eastAsia="Times New Roman" w:hAnsi="Times New Roman" w:cs="Times New Roman"/>
      <w:sz w:val="20"/>
      <w:szCs w:val="20"/>
      <w:lang w:val="en-US" w:eastAsia="ru-RU"/>
    </w:rPr>
  </w:style>
  <w:style w:type="paragraph" w:customStyle="1" w:styleId="Boldheading">
    <w:name w:val="Bold heading"/>
    <w:basedOn w:val="7"/>
    <w:autoRedefine/>
    <w:qFormat/>
    <w:pPr>
      <w:keepNext/>
      <w:spacing w:before="120" w:after="120"/>
      <w:jc w:val="center"/>
    </w:pPr>
    <w:rPr>
      <w:rFonts w:ascii="BalticaUzbek" w:hAnsi="BalticaUzbek" w:cs="BalticaUzbek"/>
      <w:b/>
      <w:bCs/>
      <w:i/>
      <w:iCs/>
      <w:sz w:val="18"/>
      <w:szCs w:val="18"/>
    </w:rPr>
  </w:style>
  <w:style w:type="paragraph" w:customStyle="1" w:styleId="16">
    <w:name w:val="Знак Знак Знак Знак1"/>
    <w:basedOn w:val="a"/>
    <w:autoRedefine/>
    <w:qFormat/>
    <w:pPr>
      <w:spacing w:after="160" w:line="240" w:lineRule="exact"/>
    </w:pPr>
    <w:rPr>
      <w:sz w:val="28"/>
      <w:szCs w:val="28"/>
    </w:rPr>
  </w:style>
  <w:style w:type="paragraph" w:customStyle="1" w:styleId="Normal">
    <w:name w:val="Обычный.Normal"/>
    <w:qFormat/>
    <w:pPr>
      <w:widowControl w:val="0"/>
      <w:autoSpaceDE w:val="0"/>
      <w:autoSpaceDN w:val="0"/>
    </w:pPr>
    <w:rPr>
      <w:lang w:eastAsia="en-US"/>
    </w:rPr>
  </w:style>
  <w:style w:type="paragraph" w:customStyle="1" w:styleId="17">
    <w:name w:val="Текст1"/>
    <w:basedOn w:val="a"/>
    <w:qFormat/>
    <w:pPr>
      <w:tabs>
        <w:tab w:val="left" w:pos="7371"/>
      </w:tabs>
      <w:overflowPunct w:val="0"/>
      <w:autoSpaceDE w:val="0"/>
      <w:autoSpaceDN w:val="0"/>
      <w:adjustRightInd w:val="0"/>
      <w:textAlignment w:val="baseline"/>
    </w:pPr>
    <w:rPr>
      <w:rFonts w:ascii="PANDA Times UZ" w:hAnsi="PANDA Times UZ" w:cs="PANDA Times UZ"/>
      <w:sz w:val="22"/>
      <w:szCs w:val="22"/>
      <w:lang w:val="ru-RU" w:eastAsia="ru-RU"/>
    </w:rPr>
  </w:style>
  <w:style w:type="paragraph" w:customStyle="1" w:styleId="210">
    <w:name w:val="Основной текст 21"/>
    <w:basedOn w:val="a"/>
    <w:qFormat/>
    <w:pPr>
      <w:ind w:firstLine="567"/>
      <w:jc w:val="both"/>
    </w:pPr>
    <w:rPr>
      <w:sz w:val="28"/>
      <w:szCs w:val="28"/>
      <w:lang w:val="ru-RU" w:eastAsia="ru-RU"/>
    </w:rPr>
  </w:style>
  <w:style w:type="paragraph" w:customStyle="1" w:styleId="18">
    <w:name w:val="Стиль1"/>
    <w:basedOn w:val="a"/>
    <w:qFormat/>
    <w:pPr>
      <w:ind w:firstLine="720"/>
      <w:jc w:val="center"/>
    </w:pPr>
    <w:rPr>
      <w:sz w:val="28"/>
      <w:szCs w:val="28"/>
      <w:lang w:val="ru-RU" w:eastAsia="ru-RU"/>
    </w:rPr>
  </w:style>
  <w:style w:type="paragraph" w:customStyle="1" w:styleId="19">
    <w:name w:val="Абзац списка1"/>
    <w:basedOn w:val="a"/>
    <w:qFormat/>
    <w:pPr>
      <w:ind w:left="720"/>
    </w:pPr>
    <w:rPr>
      <w:lang w:val="ru-RU" w:eastAsia="ru-RU"/>
    </w:rPr>
  </w:style>
  <w:style w:type="character" w:customStyle="1" w:styleId="1a">
    <w:name w:val="Знак Знак1"/>
    <w:qFormat/>
    <w:rPr>
      <w:rFonts w:ascii="Courier New" w:hAnsi="Courier New" w:cs="Courier New"/>
      <w:color w:val="000000"/>
      <w:lang w:val="ru-RU" w:eastAsia="ru-RU" w:bidi="ar-SA"/>
    </w:rPr>
  </w:style>
  <w:style w:type="paragraph" w:customStyle="1" w:styleId="aff6">
    <w:name w:val="íîðìàëüíûé"/>
    <w:basedOn w:val="a"/>
    <w:qFormat/>
    <w:pPr>
      <w:spacing w:after="60"/>
      <w:jc w:val="both"/>
    </w:pPr>
    <w:rPr>
      <w:rFonts w:ascii="Dutch" w:hAnsi="Dutch"/>
      <w:szCs w:val="20"/>
      <w:lang w:val="ru-RU" w:eastAsia="ru-RU"/>
    </w:rPr>
  </w:style>
  <w:style w:type="paragraph" w:customStyle="1" w:styleId="aff7">
    <w:name w:val="Знак"/>
    <w:basedOn w:val="a"/>
    <w:qFormat/>
    <w:pPr>
      <w:spacing w:after="160" w:line="240" w:lineRule="exact"/>
    </w:pPr>
    <w:rPr>
      <w:rFonts w:ascii="Verdana" w:hAnsi="Verdana" w:cs="Verdana"/>
      <w:sz w:val="20"/>
      <w:szCs w:val="20"/>
    </w:rPr>
  </w:style>
  <w:style w:type="character" w:customStyle="1" w:styleId="1b">
    <w:name w:val="Текст концевой сноски Знак1"/>
    <w:basedOn w:val="a0"/>
    <w:uiPriority w:val="99"/>
    <w:qFormat/>
    <w:rPr>
      <w:lang w:val="en-US" w:eastAsia="en-US"/>
    </w:rPr>
  </w:style>
  <w:style w:type="character" w:customStyle="1" w:styleId="UnresolvedMention1">
    <w:name w:val="Unresolved Mention1"/>
    <w:basedOn w:val="a0"/>
    <w:uiPriority w:val="99"/>
    <w:semiHidden/>
    <w:unhideWhenUsed/>
    <w:qFormat/>
    <w:rPr>
      <w:color w:val="605E5C"/>
      <w:shd w:val="clear" w:color="auto" w:fill="E1DFDD"/>
    </w:rPr>
  </w:style>
  <w:style w:type="paragraph" w:styleId="aff8">
    <w:name w:val="Normal (Web)"/>
    <w:basedOn w:val="a"/>
    <w:uiPriority w:val="99"/>
    <w:unhideWhenUsed/>
    <w:rsid w:val="004C6A58"/>
    <w:pPr>
      <w:spacing w:before="100" w:beforeAutospacing="1" w:after="100" w:afterAutospacing="1"/>
    </w:pPr>
    <w:rPr>
      <w:lang w:val="ru-RU" w:eastAsia="ru-RU"/>
    </w:rPr>
  </w:style>
  <w:style w:type="character" w:styleId="aff9">
    <w:name w:val="Emphasis"/>
    <w:basedOn w:val="a0"/>
    <w:uiPriority w:val="20"/>
    <w:qFormat/>
    <w:rsid w:val="004C6A58"/>
    <w:rPr>
      <w:i/>
      <w:iCs/>
    </w:rPr>
  </w:style>
  <w:style w:type="table" w:styleId="affa">
    <w:name w:val="Grid Table Light"/>
    <w:basedOn w:val="a1"/>
    <w:uiPriority w:val="40"/>
    <w:rsid w:val="006015E8"/>
    <w:rPr>
      <w:rFonts w:asciiTheme="minorHAnsi" w:eastAsiaTheme="minorHAnsi" w:hAnsiTheme="minorHAnsi" w:cstheme="minorBidi"/>
      <w:kern w:val="2"/>
      <w:sz w:val="22"/>
      <w:szCs w:val="22"/>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b">
    <w:name w:val="Revision"/>
    <w:hidden/>
    <w:uiPriority w:val="99"/>
    <w:unhideWhenUsed/>
    <w:rsid w:val="00B921B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252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ktojibaev@mail.ru" TargetMode="External"/><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B423C-4F99-4D86-94D2-B5F9DDD54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4971</Words>
  <Characters>28336</Characters>
  <Application>Microsoft Office Word</Application>
  <DocSecurity>0</DocSecurity>
  <Lines>236</Lines>
  <Paragraphs>66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Conservation-oriented restoration as a primary solution</vt:lpstr>
      <vt:lpstr>Conservation-oriented restoration as a primary solution</vt:lpstr>
    </vt:vector>
  </TitlesOfParts>
  <Company>Home</Company>
  <LinksUpToDate>false</LinksUpToDate>
  <CharactersWithSpaces>33241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Conservation-oriented restoration as a primary solution</dc:title>
  <dc:creator>Sergei</dc:creator>
  <cp:lastModifiedBy>USER</cp:lastModifiedBy>
  <cp:revision>2</cp:revision>
  <cp:lastPrinted>2024-04-09T12:03:00Z</cp:lastPrinted>
  <dcterms:created xsi:type="dcterms:W3CDTF">2026-04-29T03:16:00Z</dcterms:created>
  <dcterms:modified xsi:type="dcterms:W3CDTF">2026-04-29T03:16:00Z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2DA4482BE94A4D9EA1B8D0AD6673A8F8_13</vt:lpwstr>
  </property>
  <property fmtid="{D5CDD505-2E9C-101B-9397-08002B2CF9AE}" pid="4" name="GrammarlyDocumentId">
    <vt:lpwstr>75d30e66-5ea9-4117-8aaa-1c0708f821e9</vt:lpwstr>
  </property>
</Properties>
</file>